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3F89A" w14:textId="7B44CD8F" w:rsidR="00E56A40" w:rsidRPr="00FF4196" w:rsidRDefault="00FF4196" w:rsidP="00FF4196">
      <w:pPr>
        <w:pStyle w:val="NormalnyWeb"/>
        <w:jc w:val="center"/>
        <w:rPr>
          <w:b/>
          <w:bCs/>
        </w:rPr>
      </w:pPr>
      <w:r w:rsidRPr="00FF4196">
        <w:rPr>
          <w:b/>
          <w:bCs/>
        </w:rPr>
        <w:t>BIOMAGIC</w:t>
      </w:r>
    </w:p>
    <w:p w14:paraId="19523FFC" w14:textId="77777777" w:rsidR="00FF4196" w:rsidRDefault="00E56A40" w:rsidP="00FF4196">
      <w:pPr>
        <w:pStyle w:val="NormalnyWeb"/>
        <w:jc w:val="center"/>
      </w:pPr>
      <w:r>
        <w:t xml:space="preserve">Katedra Biotechnologii Żywności </w:t>
      </w:r>
    </w:p>
    <w:p w14:paraId="0DB3722F" w14:textId="198EE0C9" w:rsidR="00E56A40" w:rsidRDefault="00E56A40" w:rsidP="00FF4196">
      <w:pPr>
        <w:pStyle w:val="NormalnyWeb"/>
        <w:jc w:val="center"/>
      </w:pPr>
      <w:r>
        <w:t>realizuje zadania w ramach projektu:</w:t>
      </w:r>
    </w:p>
    <w:p w14:paraId="38303C08" w14:textId="77777777" w:rsidR="00E56A40" w:rsidRDefault="00E56A40" w:rsidP="00FF4196">
      <w:pPr>
        <w:pStyle w:val="NormalnyWeb"/>
        <w:jc w:val="center"/>
      </w:pPr>
      <w:r>
        <w:t>BIOSTRATEG3/344253/2/NCBR/2017, Bioprodukty z biomasy lignocelulozowej pozyskanej z gruntów marginalnych w celu wypełnienia luki obecnej w narodowej gospodarce, BioMagic, 2017-2020</w:t>
      </w:r>
    </w:p>
    <w:p w14:paraId="2D7BD945" w14:textId="77777777" w:rsidR="00E56A40" w:rsidRDefault="00E56A40" w:rsidP="00FF4196">
      <w:pPr>
        <w:pStyle w:val="NormalnyWeb"/>
        <w:jc w:val="center"/>
      </w:pPr>
      <w:r>
        <w:t>Zadanie: Biotechnologia ekstraktów i rafinatów roślinnych</w:t>
      </w:r>
    </w:p>
    <w:p w14:paraId="034B0828" w14:textId="77777777" w:rsidR="00E56A40" w:rsidRDefault="00E56A40" w:rsidP="00FF4196">
      <w:pPr>
        <w:pStyle w:val="NormalnyWeb"/>
        <w:jc w:val="center"/>
      </w:pPr>
      <w:r>
        <w:t>Kierownik zadania: dr hab. Marek Adamczak, prof. UWM</w:t>
      </w:r>
    </w:p>
    <w:p w14:paraId="7084A312" w14:textId="036D6C89" w:rsidR="00E56A40" w:rsidRDefault="00E56A40" w:rsidP="00FF4196">
      <w:pPr>
        <w:pStyle w:val="NormalnyWeb"/>
        <w:jc w:val="center"/>
      </w:pPr>
      <w:r>
        <w:rPr>
          <w:rFonts w:asciiTheme="minorHAnsi" w:eastAsiaTheme="minorHAnsi" w:hAnsiTheme="minorHAnsi" w:cstheme="minorBidi"/>
          <w:noProof/>
          <w:sz w:val="22"/>
          <w:szCs w:val="22"/>
          <w:lang w:eastAsia="en-US"/>
        </w:rPr>
        <w:drawing>
          <wp:inline distT="0" distB="0" distL="0" distR="0" wp14:anchorId="53DE2EBA" wp14:editId="20A2CB6A">
            <wp:extent cx="2080260" cy="206502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80260" cy="2065020"/>
                    </a:xfrm>
                    <a:prstGeom prst="rect">
                      <a:avLst/>
                    </a:prstGeom>
                    <a:noFill/>
                    <a:ln>
                      <a:noFill/>
                    </a:ln>
                  </pic:spPr>
                </pic:pic>
              </a:graphicData>
            </a:graphic>
          </wp:inline>
        </w:drawing>
      </w:r>
    </w:p>
    <w:p w14:paraId="2B70E0C1" w14:textId="77777777" w:rsidR="00E56A40" w:rsidRDefault="00E56A40" w:rsidP="00E56A40">
      <w:pPr>
        <w:pStyle w:val="NormalnyWeb"/>
      </w:pPr>
      <w:r>
        <w:t> </w:t>
      </w:r>
    </w:p>
    <w:p w14:paraId="246B1638" w14:textId="77777777" w:rsidR="00E56A40" w:rsidRDefault="00E56A40" w:rsidP="00E56A40">
      <w:pPr>
        <w:pStyle w:val="NormalnyWeb"/>
      </w:pPr>
      <w:r>
        <w:t> </w:t>
      </w:r>
    </w:p>
    <w:p w14:paraId="29659736" w14:textId="295E1EFF" w:rsidR="007A7DE6" w:rsidRDefault="007A7DE6"/>
    <w:p w14:paraId="1AD7F788" w14:textId="6A3FCD2F" w:rsidR="00E56A40" w:rsidRDefault="00E56A40"/>
    <w:p w14:paraId="2CAF676E" w14:textId="601FBB41" w:rsidR="00E56A40" w:rsidRDefault="00E56A40"/>
    <w:p w14:paraId="3C5F93B7" w14:textId="4E14E0D6" w:rsidR="00E56A40" w:rsidRDefault="00E56A40"/>
    <w:p w14:paraId="1A1529BD" w14:textId="5BB45E63" w:rsidR="00E56A40" w:rsidRDefault="00E56A40"/>
    <w:p w14:paraId="3195F520" w14:textId="60E99B73" w:rsidR="00E56A40" w:rsidRDefault="00E56A40"/>
    <w:p w14:paraId="7CFD67E9" w14:textId="20884D62" w:rsidR="00E56A40" w:rsidRDefault="00E56A40"/>
    <w:p w14:paraId="280D6645" w14:textId="25192B5A" w:rsidR="00E56A40" w:rsidRDefault="00E56A40"/>
    <w:p w14:paraId="51A0DDB5" w14:textId="23664392" w:rsidR="00E56A40" w:rsidRDefault="00E56A40"/>
    <w:p w14:paraId="253AF136" w14:textId="61446ECB" w:rsidR="00E56A40" w:rsidRDefault="00E56A40"/>
    <w:p w14:paraId="195B5B35" w14:textId="60C6C496" w:rsidR="00E56A40" w:rsidRDefault="00E56A40"/>
    <w:p w14:paraId="4470A182" w14:textId="2FF0CB19" w:rsidR="00E56A40" w:rsidRDefault="00E56A40"/>
    <w:p w14:paraId="726F4E27" w14:textId="77777777" w:rsidR="00E56A40" w:rsidRPr="00FF4196" w:rsidRDefault="00E56A40" w:rsidP="00E56A40">
      <w:pPr>
        <w:spacing w:before="100" w:beforeAutospacing="1" w:after="100" w:afterAutospacing="1" w:line="240" w:lineRule="auto"/>
        <w:outlineLvl w:val="0"/>
        <w:rPr>
          <w:rFonts w:ascii="Times New Roman" w:eastAsia="Times New Roman" w:hAnsi="Times New Roman" w:cs="Times New Roman"/>
          <w:b/>
          <w:bCs/>
          <w:kern w:val="36"/>
          <w:sz w:val="48"/>
          <w:szCs w:val="48"/>
          <w:lang w:val="en-US" w:eastAsia="pl-PL"/>
        </w:rPr>
      </w:pPr>
      <w:r w:rsidRPr="00FF4196">
        <w:rPr>
          <w:rFonts w:ascii="Times New Roman" w:eastAsia="Times New Roman" w:hAnsi="Times New Roman" w:cs="Times New Roman"/>
          <w:b/>
          <w:bCs/>
          <w:kern w:val="36"/>
          <w:sz w:val="48"/>
          <w:szCs w:val="48"/>
          <w:lang w:val="en-US" w:eastAsia="pl-PL"/>
        </w:rPr>
        <w:lastRenderedPageBreak/>
        <w:t>PLEX database - biological activity</w:t>
      </w:r>
    </w:p>
    <w:p w14:paraId="33162036"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color w:val="FF0000"/>
          <w:sz w:val="36"/>
          <w:szCs w:val="36"/>
          <w:lang w:val="en-US" w:eastAsia="pl-PL"/>
        </w:rPr>
        <w:t>PLEX database - biological acitvity</w:t>
      </w:r>
    </w:p>
    <w:p w14:paraId="72DE7CC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Date: 08.01.2019</w:t>
      </w:r>
    </w:p>
    <w:p w14:paraId="5C65AAD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4358F91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7"/>
          <w:szCs w:val="27"/>
          <w:lang w:eastAsia="pl-PL"/>
        </w:rPr>
        <w:t>Robinia pseudoacacia</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4"/>
        <w:gridCol w:w="1844"/>
        <w:gridCol w:w="2268"/>
        <w:gridCol w:w="2230"/>
        <w:gridCol w:w="1540"/>
      </w:tblGrid>
      <w:tr w:rsidR="00E56A40" w:rsidRPr="00E56A40" w14:paraId="656DB71D"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4757C2A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Source</w:t>
            </w:r>
          </w:p>
        </w:tc>
        <w:tc>
          <w:tcPr>
            <w:tcW w:w="2205" w:type="dxa"/>
            <w:tcBorders>
              <w:top w:val="outset" w:sz="6" w:space="0" w:color="auto"/>
              <w:left w:val="outset" w:sz="6" w:space="0" w:color="auto"/>
              <w:bottom w:val="outset" w:sz="6" w:space="0" w:color="auto"/>
              <w:right w:val="outset" w:sz="6" w:space="0" w:color="auto"/>
            </w:tcBorders>
            <w:hideMark/>
          </w:tcPr>
          <w:p w14:paraId="0CD3C42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Extraction methods/solvent</w:t>
            </w:r>
          </w:p>
        </w:tc>
        <w:tc>
          <w:tcPr>
            <w:tcW w:w="2805" w:type="dxa"/>
            <w:tcBorders>
              <w:top w:val="outset" w:sz="6" w:space="0" w:color="auto"/>
              <w:left w:val="outset" w:sz="6" w:space="0" w:color="auto"/>
              <w:bottom w:val="outset" w:sz="6" w:space="0" w:color="auto"/>
              <w:right w:val="outset" w:sz="6" w:space="0" w:color="auto"/>
            </w:tcBorders>
            <w:hideMark/>
          </w:tcPr>
          <w:p w14:paraId="3319088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Compound</w:t>
            </w:r>
          </w:p>
        </w:tc>
        <w:tc>
          <w:tcPr>
            <w:tcW w:w="2745" w:type="dxa"/>
            <w:tcBorders>
              <w:top w:val="outset" w:sz="6" w:space="0" w:color="auto"/>
              <w:left w:val="outset" w:sz="6" w:space="0" w:color="auto"/>
              <w:bottom w:val="outset" w:sz="6" w:space="0" w:color="auto"/>
              <w:right w:val="outset" w:sz="6" w:space="0" w:color="auto"/>
            </w:tcBorders>
            <w:hideMark/>
          </w:tcPr>
          <w:p w14:paraId="6269D0C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Biological activity</w:t>
            </w:r>
          </w:p>
        </w:tc>
        <w:tc>
          <w:tcPr>
            <w:tcW w:w="1905" w:type="dxa"/>
            <w:tcBorders>
              <w:top w:val="outset" w:sz="6" w:space="0" w:color="auto"/>
              <w:left w:val="outset" w:sz="6" w:space="0" w:color="auto"/>
              <w:bottom w:val="outset" w:sz="6" w:space="0" w:color="auto"/>
              <w:right w:val="outset" w:sz="6" w:space="0" w:color="auto"/>
            </w:tcBorders>
            <w:hideMark/>
          </w:tcPr>
          <w:p w14:paraId="107B4E0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tc>
      </w:tr>
      <w:tr w:rsidR="00E56A40" w:rsidRPr="00E56A40" w14:paraId="523D0AD1"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3D16B97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pollen</w:t>
            </w:r>
          </w:p>
        </w:tc>
        <w:tc>
          <w:tcPr>
            <w:tcW w:w="2205" w:type="dxa"/>
            <w:tcBorders>
              <w:top w:val="outset" w:sz="6" w:space="0" w:color="auto"/>
              <w:left w:val="outset" w:sz="6" w:space="0" w:color="auto"/>
              <w:bottom w:val="outset" w:sz="6" w:space="0" w:color="auto"/>
              <w:right w:val="outset" w:sz="6" w:space="0" w:color="auto"/>
            </w:tcBorders>
            <w:hideMark/>
          </w:tcPr>
          <w:p w14:paraId="2BD4D8B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saline extract</w:t>
            </w:r>
          </w:p>
        </w:tc>
        <w:tc>
          <w:tcPr>
            <w:tcW w:w="2805" w:type="dxa"/>
            <w:tcBorders>
              <w:top w:val="outset" w:sz="6" w:space="0" w:color="auto"/>
              <w:left w:val="outset" w:sz="6" w:space="0" w:color="auto"/>
              <w:bottom w:val="outset" w:sz="6" w:space="0" w:color="auto"/>
              <w:right w:val="outset" w:sz="6" w:space="0" w:color="auto"/>
            </w:tcBorders>
            <w:hideMark/>
          </w:tcPr>
          <w:p w14:paraId="1F8B25A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protein</w:t>
            </w:r>
          </w:p>
        </w:tc>
        <w:tc>
          <w:tcPr>
            <w:tcW w:w="2745" w:type="dxa"/>
            <w:tcBorders>
              <w:top w:val="outset" w:sz="6" w:space="0" w:color="auto"/>
              <w:left w:val="outset" w:sz="6" w:space="0" w:color="auto"/>
              <w:bottom w:val="outset" w:sz="6" w:space="0" w:color="auto"/>
              <w:right w:val="outset" w:sz="6" w:space="0" w:color="auto"/>
            </w:tcBorders>
            <w:hideMark/>
          </w:tcPr>
          <w:p w14:paraId="38300F1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allergenic</w:t>
            </w:r>
          </w:p>
        </w:tc>
        <w:tc>
          <w:tcPr>
            <w:tcW w:w="1905" w:type="dxa"/>
            <w:tcBorders>
              <w:top w:val="outset" w:sz="6" w:space="0" w:color="auto"/>
              <w:left w:val="outset" w:sz="6" w:space="0" w:color="auto"/>
              <w:bottom w:val="outset" w:sz="6" w:space="0" w:color="auto"/>
              <w:right w:val="outset" w:sz="6" w:space="0" w:color="auto"/>
            </w:tcBorders>
            <w:hideMark/>
          </w:tcPr>
          <w:p w14:paraId="26C0EC7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Compés et al. 2006</w:t>
            </w:r>
          </w:p>
        </w:tc>
      </w:tr>
      <w:tr w:rsidR="00E56A40" w:rsidRPr="00E56A40" w14:paraId="4BE2664E"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0AD4CF7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flowers</w:t>
            </w:r>
          </w:p>
        </w:tc>
        <w:tc>
          <w:tcPr>
            <w:tcW w:w="2205" w:type="dxa"/>
            <w:tcBorders>
              <w:top w:val="outset" w:sz="6" w:space="0" w:color="auto"/>
              <w:left w:val="outset" w:sz="6" w:space="0" w:color="auto"/>
              <w:bottom w:val="outset" w:sz="6" w:space="0" w:color="auto"/>
              <w:right w:val="outset" w:sz="6" w:space="0" w:color="auto"/>
            </w:tcBorders>
            <w:hideMark/>
          </w:tcPr>
          <w:p w14:paraId="2128C6E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diethyl ether extract</w:t>
            </w:r>
          </w:p>
        </w:tc>
        <w:tc>
          <w:tcPr>
            <w:tcW w:w="2805" w:type="dxa"/>
            <w:tcBorders>
              <w:top w:val="outset" w:sz="6" w:space="0" w:color="auto"/>
              <w:left w:val="outset" w:sz="6" w:space="0" w:color="auto"/>
              <w:bottom w:val="outset" w:sz="6" w:space="0" w:color="auto"/>
              <w:right w:val="outset" w:sz="6" w:space="0" w:color="auto"/>
            </w:tcBorders>
            <w:hideMark/>
          </w:tcPr>
          <w:p w14:paraId="3463534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2-aminobenzaldehyde</w:t>
            </w:r>
          </w:p>
        </w:tc>
        <w:tc>
          <w:tcPr>
            <w:tcW w:w="2745" w:type="dxa"/>
            <w:tcBorders>
              <w:top w:val="outset" w:sz="6" w:space="0" w:color="auto"/>
              <w:left w:val="outset" w:sz="6" w:space="0" w:color="auto"/>
              <w:bottom w:val="outset" w:sz="6" w:space="0" w:color="auto"/>
              <w:right w:val="outset" w:sz="6" w:space="0" w:color="auto"/>
            </w:tcBorders>
            <w:hideMark/>
          </w:tcPr>
          <w:p w14:paraId="617D951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flavour components</w:t>
            </w:r>
          </w:p>
        </w:tc>
        <w:tc>
          <w:tcPr>
            <w:tcW w:w="1905" w:type="dxa"/>
            <w:tcBorders>
              <w:top w:val="outset" w:sz="6" w:space="0" w:color="auto"/>
              <w:left w:val="outset" w:sz="6" w:space="0" w:color="auto"/>
              <w:bottom w:val="outset" w:sz="6" w:space="0" w:color="auto"/>
              <w:right w:val="outset" w:sz="6" w:space="0" w:color="auto"/>
            </w:tcBorders>
            <w:hideMark/>
          </w:tcPr>
          <w:p w14:paraId="29CD813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Spiteller &amp; Steglich 2001</w:t>
            </w:r>
          </w:p>
        </w:tc>
      </w:tr>
      <w:tr w:rsidR="00E56A40" w:rsidRPr="00FF4196" w14:paraId="6D62BEC1"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477BA3F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flowers</w:t>
            </w:r>
          </w:p>
        </w:tc>
        <w:tc>
          <w:tcPr>
            <w:tcW w:w="2205" w:type="dxa"/>
            <w:tcBorders>
              <w:top w:val="outset" w:sz="6" w:space="0" w:color="auto"/>
              <w:left w:val="outset" w:sz="6" w:space="0" w:color="auto"/>
              <w:bottom w:val="outset" w:sz="6" w:space="0" w:color="auto"/>
              <w:right w:val="outset" w:sz="6" w:space="0" w:color="auto"/>
            </w:tcBorders>
            <w:hideMark/>
          </w:tcPr>
          <w:p w14:paraId="6D4D13B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water extract </w:t>
            </w:r>
          </w:p>
        </w:tc>
        <w:tc>
          <w:tcPr>
            <w:tcW w:w="2805" w:type="dxa"/>
            <w:tcBorders>
              <w:top w:val="outset" w:sz="6" w:space="0" w:color="auto"/>
              <w:left w:val="outset" w:sz="6" w:space="0" w:color="auto"/>
              <w:bottom w:val="outset" w:sz="6" w:space="0" w:color="auto"/>
              <w:right w:val="outset" w:sz="6" w:space="0" w:color="auto"/>
            </w:tcBorders>
            <w:hideMark/>
          </w:tcPr>
          <w:p w14:paraId="40FA320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polysaccharides</w:t>
            </w:r>
          </w:p>
        </w:tc>
        <w:tc>
          <w:tcPr>
            <w:tcW w:w="2745" w:type="dxa"/>
            <w:tcBorders>
              <w:top w:val="outset" w:sz="6" w:space="0" w:color="auto"/>
              <w:left w:val="outset" w:sz="6" w:space="0" w:color="auto"/>
              <w:bottom w:val="outset" w:sz="6" w:space="0" w:color="auto"/>
              <w:right w:val="outset" w:sz="6" w:space="0" w:color="auto"/>
            </w:tcBorders>
            <w:hideMark/>
          </w:tcPr>
          <w:p w14:paraId="595E8C7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immunomodulation</w:t>
            </w:r>
          </w:p>
        </w:tc>
        <w:tc>
          <w:tcPr>
            <w:tcW w:w="1905" w:type="dxa"/>
            <w:tcBorders>
              <w:top w:val="outset" w:sz="6" w:space="0" w:color="auto"/>
              <w:left w:val="outset" w:sz="6" w:space="0" w:color="auto"/>
              <w:bottom w:val="outset" w:sz="6" w:space="0" w:color="auto"/>
              <w:right w:val="outset" w:sz="6" w:space="0" w:color="auto"/>
            </w:tcBorders>
            <w:hideMark/>
          </w:tcPr>
          <w:p w14:paraId="1B3F7B1D"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Yang et al. 2017; Liang et al. 2013</w:t>
            </w:r>
          </w:p>
        </w:tc>
      </w:tr>
      <w:tr w:rsidR="00E56A40" w:rsidRPr="00E56A40" w14:paraId="5DD5AE44"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003CED4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flowers</w:t>
            </w:r>
          </w:p>
        </w:tc>
        <w:tc>
          <w:tcPr>
            <w:tcW w:w="2205" w:type="dxa"/>
            <w:tcBorders>
              <w:top w:val="outset" w:sz="6" w:space="0" w:color="auto"/>
              <w:left w:val="outset" w:sz="6" w:space="0" w:color="auto"/>
              <w:bottom w:val="outset" w:sz="6" w:space="0" w:color="auto"/>
              <w:right w:val="outset" w:sz="6" w:space="0" w:color="auto"/>
            </w:tcBorders>
            <w:hideMark/>
          </w:tcPr>
          <w:p w14:paraId="3C6847C3"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ethyl acetate, acetone, methanol and water extracts</w:t>
            </w:r>
          </w:p>
        </w:tc>
        <w:tc>
          <w:tcPr>
            <w:tcW w:w="2805" w:type="dxa"/>
            <w:tcBorders>
              <w:top w:val="outset" w:sz="6" w:space="0" w:color="auto"/>
              <w:left w:val="outset" w:sz="6" w:space="0" w:color="auto"/>
              <w:bottom w:val="outset" w:sz="6" w:space="0" w:color="auto"/>
              <w:right w:val="outset" w:sz="6" w:space="0" w:color="auto"/>
            </w:tcBorders>
            <w:hideMark/>
          </w:tcPr>
          <w:p w14:paraId="0795E4CD"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phenolic, flavonoids, tannins, fatty acids</w:t>
            </w:r>
          </w:p>
        </w:tc>
        <w:tc>
          <w:tcPr>
            <w:tcW w:w="2745" w:type="dxa"/>
            <w:tcBorders>
              <w:top w:val="outset" w:sz="6" w:space="0" w:color="auto"/>
              <w:left w:val="outset" w:sz="6" w:space="0" w:color="auto"/>
              <w:bottom w:val="outset" w:sz="6" w:space="0" w:color="auto"/>
              <w:right w:val="outset" w:sz="6" w:space="0" w:color="auto"/>
            </w:tcBorders>
            <w:hideMark/>
          </w:tcPr>
          <w:p w14:paraId="1C774FFC"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antioxidative, inhibitory activities against cholinesterase, </w:t>
            </w:r>
            <w:r w:rsidRPr="00E56A40">
              <w:rPr>
                <w:rFonts w:ascii="Times New Roman" w:eastAsia="Times New Roman" w:hAnsi="Times New Roman" w:cs="Times New Roman"/>
                <w:sz w:val="24"/>
                <w:szCs w:val="24"/>
                <w:lang w:eastAsia="pl-PL"/>
              </w:rPr>
              <w:t>α</w:t>
            </w:r>
            <w:r w:rsidRPr="00FF4196">
              <w:rPr>
                <w:rFonts w:ascii="Times New Roman" w:eastAsia="Times New Roman" w:hAnsi="Times New Roman" w:cs="Times New Roman"/>
                <w:sz w:val="24"/>
                <w:szCs w:val="24"/>
                <w:lang w:val="en-US" w:eastAsia="pl-PL"/>
              </w:rPr>
              <w:t xml:space="preserve">-amylase, </w:t>
            </w:r>
            <w:r w:rsidRPr="00E56A40">
              <w:rPr>
                <w:rFonts w:ascii="Times New Roman" w:eastAsia="Times New Roman" w:hAnsi="Times New Roman" w:cs="Times New Roman"/>
                <w:sz w:val="24"/>
                <w:szCs w:val="24"/>
                <w:lang w:eastAsia="pl-PL"/>
              </w:rPr>
              <w:t>α</w:t>
            </w:r>
            <w:r w:rsidRPr="00FF4196">
              <w:rPr>
                <w:rFonts w:ascii="Times New Roman" w:eastAsia="Times New Roman" w:hAnsi="Times New Roman" w:cs="Times New Roman"/>
                <w:sz w:val="24"/>
                <w:szCs w:val="24"/>
                <w:lang w:val="en-US" w:eastAsia="pl-PL"/>
              </w:rPr>
              <w:t>-glucosidase and tyrosinase</w:t>
            </w:r>
          </w:p>
        </w:tc>
        <w:tc>
          <w:tcPr>
            <w:tcW w:w="1905" w:type="dxa"/>
            <w:tcBorders>
              <w:top w:val="outset" w:sz="6" w:space="0" w:color="auto"/>
              <w:left w:val="outset" w:sz="6" w:space="0" w:color="auto"/>
              <w:bottom w:val="outset" w:sz="6" w:space="0" w:color="auto"/>
              <w:right w:val="outset" w:sz="6" w:space="0" w:color="auto"/>
            </w:tcBorders>
            <w:hideMark/>
          </w:tcPr>
          <w:p w14:paraId="2844434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Sarikurkcu et al. 2015</w:t>
            </w:r>
          </w:p>
        </w:tc>
      </w:tr>
      <w:tr w:rsidR="00E56A40" w:rsidRPr="00E56A40" w14:paraId="1B052DF6"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698B5EB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seed</w:t>
            </w:r>
          </w:p>
        </w:tc>
        <w:tc>
          <w:tcPr>
            <w:tcW w:w="2205" w:type="dxa"/>
            <w:tcBorders>
              <w:top w:val="outset" w:sz="6" w:space="0" w:color="auto"/>
              <w:left w:val="outset" w:sz="6" w:space="0" w:color="auto"/>
              <w:bottom w:val="outset" w:sz="6" w:space="0" w:color="auto"/>
              <w:right w:val="outset" w:sz="6" w:space="0" w:color="auto"/>
            </w:tcBorders>
            <w:hideMark/>
          </w:tcPr>
          <w:p w14:paraId="22BE520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buffer extract (10 mM</w:t>
            </w:r>
          </w:p>
          <w:p w14:paraId="7A5E8AF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Na</w:t>
            </w:r>
            <w:r w:rsidRPr="00E56A40">
              <w:rPr>
                <w:rFonts w:ascii="Times New Roman" w:eastAsia="Times New Roman" w:hAnsi="Times New Roman" w:cs="Times New Roman"/>
                <w:sz w:val="24"/>
                <w:szCs w:val="24"/>
                <w:vertAlign w:val="subscript"/>
                <w:lang w:eastAsia="pl-PL"/>
              </w:rPr>
              <w:t>2</w:t>
            </w:r>
            <w:r w:rsidRPr="00E56A40">
              <w:rPr>
                <w:rFonts w:ascii="Times New Roman" w:eastAsia="Times New Roman" w:hAnsi="Times New Roman" w:cs="Times New Roman"/>
                <w:sz w:val="24"/>
                <w:szCs w:val="24"/>
                <w:lang w:eastAsia="pl-PL"/>
              </w:rPr>
              <w:t>HPO</w:t>
            </w:r>
            <w:r w:rsidRPr="00E56A40">
              <w:rPr>
                <w:rFonts w:ascii="Times New Roman" w:eastAsia="Times New Roman" w:hAnsi="Times New Roman" w:cs="Times New Roman"/>
                <w:sz w:val="24"/>
                <w:szCs w:val="24"/>
                <w:vertAlign w:val="subscript"/>
                <w:lang w:eastAsia="pl-PL"/>
              </w:rPr>
              <w:t>4</w:t>
            </w:r>
            <w:r w:rsidRPr="00E56A40">
              <w:rPr>
                <w:rFonts w:ascii="Times New Roman" w:eastAsia="Times New Roman" w:hAnsi="Times New Roman" w:cs="Times New Roman"/>
                <w:sz w:val="24"/>
                <w:szCs w:val="24"/>
                <w:lang w:eastAsia="pl-PL"/>
              </w:rPr>
              <w:t>, 15 mM NaH</w:t>
            </w:r>
            <w:r w:rsidRPr="00E56A40">
              <w:rPr>
                <w:rFonts w:ascii="Times New Roman" w:eastAsia="Times New Roman" w:hAnsi="Times New Roman" w:cs="Times New Roman"/>
                <w:sz w:val="24"/>
                <w:szCs w:val="24"/>
                <w:vertAlign w:val="subscript"/>
                <w:lang w:eastAsia="pl-PL"/>
              </w:rPr>
              <w:t>2</w:t>
            </w:r>
            <w:r w:rsidRPr="00E56A40">
              <w:rPr>
                <w:rFonts w:ascii="Times New Roman" w:eastAsia="Times New Roman" w:hAnsi="Times New Roman" w:cs="Times New Roman"/>
                <w:sz w:val="24"/>
                <w:szCs w:val="24"/>
                <w:lang w:eastAsia="pl-PL"/>
              </w:rPr>
              <w:t>PO</w:t>
            </w:r>
            <w:r w:rsidRPr="00E56A40">
              <w:rPr>
                <w:rFonts w:ascii="Times New Roman" w:eastAsia="Times New Roman" w:hAnsi="Times New Roman" w:cs="Times New Roman"/>
                <w:sz w:val="24"/>
                <w:szCs w:val="24"/>
                <w:vertAlign w:val="subscript"/>
                <w:lang w:eastAsia="pl-PL"/>
              </w:rPr>
              <w:t>4</w:t>
            </w:r>
            <w:r w:rsidRPr="00E56A40">
              <w:rPr>
                <w:rFonts w:ascii="Times New Roman" w:eastAsia="Times New Roman" w:hAnsi="Times New Roman" w:cs="Times New Roman"/>
                <w:sz w:val="24"/>
                <w:szCs w:val="24"/>
                <w:lang w:eastAsia="pl-PL"/>
              </w:rPr>
              <w:t>, 100 mM KCl, 1.5 mM EDTA)</w:t>
            </w:r>
          </w:p>
        </w:tc>
        <w:tc>
          <w:tcPr>
            <w:tcW w:w="2805" w:type="dxa"/>
            <w:tcBorders>
              <w:top w:val="outset" w:sz="6" w:space="0" w:color="auto"/>
              <w:left w:val="outset" w:sz="6" w:space="0" w:color="auto"/>
              <w:bottom w:val="outset" w:sz="6" w:space="0" w:color="auto"/>
              <w:right w:val="outset" w:sz="6" w:space="0" w:color="auto"/>
            </w:tcBorders>
            <w:hideMark/>
          </w:tcPr>
          <w:p w14:paraId="1805580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cationic peptide</w:t>
            </w:r>
          </w:p>
        </w:tc>
        <w:tc>
          <w:tcPr>
            <w:tcW w:w="2745" w:type="dxa"/>
            <w:tcBorders>
              <w:top w:val="outset" w:sz="6" w:space="0" w:color="auto"/>
              <w:left w:val="outset" w:sz="6" w:space="0" w:color="auto"/>
              <w:bottom w:val="outset" w:sz="6" w:space="0" w:color="auto"/>
              <w:right w:val="outset" w:sz="6" w:space="0" w:color="auto"/>
            </w:tcBorders>
            <w:hideMark/>
          </w:tcPr>
          <w:p w14:paraId="200EF6F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antimicrobial</w:t>
            </w:r>
          </w:p>
        </w:tc>
        <w:tc>
          <w:tcPr>
            <w:tcW w:w="1905" w:type="dxa"/>
            <w:tcBorders>
              <w:top w:val="outset" w:sz="6" w:space="0" w:color="auto"/>
              <w:left w:val="outset" w:sz="6" w:space="0" w:color="auto"/>
              <w:bottom w:val="outset" w:sz="6" w:space="0" w:color="auto"/>
              <w:right w:val="outset" w:sz="6" w:space="0" w:color="auto"/>
            </w:tcBorders>
            <w:hideMark/>
          </w:tcPr>
          <w:p w14:paraId="7924FCD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Talas-Oğraş et al. 2005</w:t>
            </w:r>
          </w:p>
        </w:tc>
      </w:tr>
      <w:tr w:rsidR="00E56A40" w:rsidRPr="00E56A40" w14:paraId="432026D2"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30C0E61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seed</w:t>
            </w:r>
          </w:p>
        </w:tc>
        <w:tc>
          <w:tcPr>
            <w:tcW w:w="2205" w:type="dxa"/>
            <w:tcBorders>
              <w:top w:val="outset" w:sz="6" w:space="0" w:color="auto"/>
              <w:left w:val="outset" w:sz="6" w:space="0" w:color="auto"/>
              <w:bottom w:val="outset" w:sz="6" w:space="0" w:color="auto"/>
              <w:right w:val="outset" w:sz="6" w:space="0" w:color="auto"/>
            </w:tcBorders>
            <w:hideMark/>
          </w:tcPr>
          <w:p w14:paraId="73481B9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water, petroleum ether, ethyl acetate or </w:t>
            </w:r>
            <w:r w:rsidRPr="00FF4196">
              <w:rPr>
                <w:rFonts w:ascii="Times New Roman" w:eastAsia="Times New Roman" w:hAnsi="Times New Roman" w:cs="Times New Roman"/>
                <w:i/>
                <w:iCs/>
                <w:sz w:val="24"/>
                <w:szCs w:val="24"/>
                <w:lang w:val="en-US" w:eastAsia="pl-PL"/>
              </w:rPr>
              <w:t>n</w:t>
            </w:r>
            <w:r w:rsidRPr="00FF4196">
              <w:rPr>
                <w:rFonts w:ascii="Times New Roman" w:eastAsia="Times New Roman" w:hAnsi="Times New Roman" w:cs="Times New Roman"/>
                <w:sz w:val="24"/>
                <w:szCs w:val="24"/>
                <w:lang w:val="en-US" w:eastAsia="pl-PL"/>
              </w:rPr>
              <w:t>-butanol extract from lyophilised ethanolic extract</w:t>
            </w:r>
          </w:p>
        </w:tc>
        <w:tc>
          <w:tcPr>
            <w:tcW w:w="2805" w:type="dxa"/>
            <w:tcBorders>
              <w:top w:val="outset" w:sz="6" w:space="0" w:color="auto"/>
              <w:left w:val="outset" w:sz="6" w:space="0" w:color="auto"/>
              <w:bottom w:val="outset" w:sz="6" w:space="0" w:color="auto"/>
              <w:right w:val="outset" w:sz="6" w:space="0" w:color="auto"/>
            </w:tcBorders>
            <w:hideMark/>
          </w:tcPr>
          <w:p w14:paraId="3057F0F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9,12-octadecadienoic acid; 9,12,15-</w:t>
            </w:r>
          </w:p>
          <w:p w14:paraId="38C2E2C2"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octadecatrienoic acid methyl ester; 9,12-octadecadienoic acid methyl ester</w:t>
            </w:r>
          </w:p>
        </w:tc>
        <w:tc>
          <w:tcPr>
            <w:tcW w:w="2745" w:type="dxa"/>
            <w:tcBorders>
              <w:top w:val="outset" w:sz="6" w:space="0" w:color="auto"/>
              <w:left w:val="outset" w:sz="6" w:space="0" w:color="auto"/>
              <w:bottom w:val="outset" w:sz="6" w:space="0" w:color="auto"/>
              <w:right w:val="outset" w:sz="6" w:space="0" w:color="auto"/>
            </w:tcBorders>
            <w:hideMark/>
          </w:tcPr>
          <w:p w14:paraId="2781EF7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insecticidal</w:t>
            </w:r>
          </w:p>
        </w:tc>
        <w:tc>
          <w:tcPr>
            <w:tcW w:w="1905" w:type="dxa"/>
            <w:tcBorders>
              <w:top w:val="outset" w:sz="6" w:space="0" w:color="auto"/>
              <w:left w:val="outset" w:sz="6" w:space="0" w:color="auto"/>
              <w:bottom w:val="outset" w:sz="6" w:space="0" w:color="auto"/>
              <w:right w:val="outset" w:sz="6" w:space="0" w:color="auto"/>
            </w:tcBorders>
            <w:hideMark/>
          </w:tcPr>
          <w:p w14:paraId="3ECC6A8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Jiang et al. 2018</w:t>
            </w:r>
          </w:p>
        </w:tc>
      </w:tr>
      <w:tr w:rsidR="00E56A40" w:rsidRPr="00E56A40" w14:paraId="76A04D06"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437E155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seed</w:t>
            </w:r>
          </w:p>
        </w:tc>
        <w:tc>
          <w:tcPr>
            <w:tcW w:w="2205" w:type="dxa"/>
            <w:tcBorders>
              <w:top w:val="outset" w:sz="6" w:space="0" w:color="auto"/>
              <w:left w:val="outset" w:sz="6" w:space="0" w:color="auto"/>
              <w:bottom w:val="outset" w:sz="6" w:space="0" w:color="auto"/>
              <w:right w:val="outset" w:sz="6" w:space="0" w:color="auto"/>
            </w:tcBorders>
            <w:hideMark/>
          </w:tcPr>
          <w:p w14:paraId="5705764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805" w:type="dxa"/>
            <w:tcBorders>
              <w:top w:val="outset" w:sz="6" w:space="0" w:color="auto"/>
              <w:left w:val="outset" w:sz="6" w:space="0" w:color="auto"/>
              <w:bottom w:val="outset" w:sz="6" w:space="0" w:color="auto"/>
              <w:right w:val="outset" w:sz="6" w:space="0" w:color="auto"/>
            </w:tcBorders>
            <w:hideMark/>
          </w:tcPr>
          <w:p w14:paraId="0797938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amorphastilbol (APH-1)</w:t>
            </w:r>
          </w:p>
        </w:tc>
        <w:tc>
          <w:tcPr>
            <w:tcW w:w="2745" w:type="dxa"/>
            <w:tcBorders>
              <w:top w:val="outset" w:sz="6" w:space="0" w:color="auto"/>
              <w:left w:val="outset" w:sz="6" w:space="0" w:color="auto"/>
              <w:bottom w:val="outset" w:sz="6" w:space="0" w:color="auto"/>
              <w:right w:val="outset" w:sz="6" w:space="0" w:color="auto"/>
            </w:tcBorders>
            <w:hideMark/>
          </w:tcPr>
          <w:p w14:paraId="5D03870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dual PPAR </w:t>
            </w:r>
            <w:r w:rsidRPr="00E56A40">
              <w:rPr>
                <w:rFonts w:ascii="Times New Roman" w:eastAsia="Times New Roman" w:hAnsi="Times New Roman" w:cs="Times New Roman"/>
                <w:sz w:val="24"/>
                <w:szCs w:val="24"/>
                <w:lang w:eastAsia="pl-PL"/>
              </w:rPr>
              <w:t>α</w:t>
            </w:r>
            <w:r w:rsidRPr="00FF4196">
              <w:rPr>
                <w:rFonts w:ascii="Times New Roman" w:eastAsia="Times New Roman" w:hAnsi="Times New Roman" w:cs="Times New Roman"/>
                <w:sz w:val="24"/>
                <w:szCs w:val="24"/>
                <w:lang w:val="en-US" w:eastAsia="pl-PL"/>
              </w:rPr>
              <w:t>/</w:t>
            </w:r>
            <w:r w:rsidRPr="00E56A40">
              <w:rPr>
                <w:rFonts w:ascii="Times New Roman" w:eastAsia="Times New Roman" w:hAnsi="Times New Roman" w:cs="Times New Roman"/>
                <w:sz w:val="24"/>
                <w:szCs w:val="24"/>
                <w:lang w:eastAsia="pl-PL"/>
              </w:rPr>
              <w:t>γ</w:t>
            </w:r>
            <w:r w:rsidRPr="00FF4196">
              <w:rPr>
                <w:rFonts w:ascii="Times New Roman" w:eastAsia="Times New Roman" w:hAnsi="Times New Roman" w:cs="Times New Roman"/>
                <w:sz w:val="24"/>
                <w:szCs w:val="24"/>
                <w:lang w:val="en-US" w:eastAsia="pl-PL"/>
              </w:rPr>
              <w:t xml:space="preserve"> agonist</w:t>
            </w:r>
          </w:p>
        </w:tc>
        <w:tc>
          <w:tcPr>
            <w:tcW w:w="1905" w:type="dxa"/>
            <w:tcBorders>
              <w:top w:val="outset" w:sz="6" w:space="0" w:color="auto"/>
              <w:left w:val="outset" w:sz="6" w:space="0" w:color="auto"/>
              <w:bottom w:val="outset" w:sz="6" w:space="0" w:color="auto"/>
              <w:right w:val="outset" w:sz="6" w:space="0" w:color="auto"/>
            </w:tcBorders>
            <w:hideMark/>
          </w:tcPr>
          <w:p w14:paraId="6B60AB8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Kim et al. 2012</w:t>
            </w:r>
          </w:p>
        </w:tc>
      </w:tr>
      <w:tr w:rsidR="00E56A40" w:rsidRPr="00E56A40" w14:paraId="046634B6"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7EB7E55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xylem, shoots</w:t>
            </w:r>
          </w:p>
        </w:tc>
        <w:tc>
          <w:tcPr>
            <w:tcW w:w="2205" w:type="dxa"/>
            <w:tcBorders>
              <w:top w:val="outset" w:sz="6" w:space="0" w:color="auto"/>
              <w:left w:val="outset" w:sz="6" w:space="0" w:color="auto"/>
              <w:bottom w:val="outset" w:sz="6" w:space="0" w:color="auto"/>
              <w:right w:val="outset" w:sz="6" w:space="0" w:color="auto"/>
            </w:tcBorders>
            <w:hideMark/>
          </w:tcPr>
          <w:p w14:paraId="6FE77A0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buffers</w:t>
            </w:r>
          </w:p>
        </w:tc>
        <w:tc>
          <w:tcPr>
            <w:tcW w:w="2805" w:type="dxa"/>
            <w:tcBorders>
              <w:top w:val="outset" w:sz="6" w:space="0" w:color="auto"/>
              <w:left w:val="outset" w:sz="6" w:space="0" w:color="auto"/>
              <w:bottom w:val="outset" w:sz="6" w:space="0" w:color="auto"/>
              <w:right w:val="outset" w:sz="6" w:space="0" w:color="auto"/>
            </w:tcBorders>
            <w:hideMark/>
          </w:tcPr>
          <w:p w14:paraId="1E40420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4-Coumarate: coenzyme A ligase</w:t>
            </w:r>
          </w:p>
        </w:tc>
        <w:tc>
          <w:tcPr>
            <w:tcW w:w="2745" w:type="dxa"/>
            <w:tcBorders>
              <w:top w:val="outset" w:sz="6" w:space="0" w:color="auto"/>
              <w:left w:val="outset" w:sz="6" w:space="0" w:color="auto"/>
              <w:bottom w:val="outset" w:sz="6" w:space="0" w:color="auto"/>
              <w:right w:val="outset" w:sz="6" w:space="0" w:color="auto"/>
            </w:tcBorders>
            <w:hideMark/>
          </w:tcPr>
          <w:p w14:paraId="22318293"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conversion of sinapate to sinapoyl CoA</w:t>
            </w:r>
          </w:p>
        </w:tc>
        <w:tc>
          <w:tcPr>
            <w:tcW w:w="1905" w:type="dxa"/>
            <w:tcBorders>
              <w:top w:val="outset" w:sz="6" w:space="0" w:color="auto"/>
              <w:left w:val="outset" w:sz="6" w:space="0" w:color="auto"/>
              <w:bottom w:val="outset" w:sz="6" w:space="0" w:color="auto"/>
              <w:right w:val="outset" w:sz="6" w:space="0" w:color="auto"/>
            </w:tcBorders>
            <w:hideMark/>
          </w:tcPr>
          <w:p w14:paraId="606B033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Hamada et al. 2004</w:t>
            </w:r>
          </w:p>
        </w:tc>
      </w:tr>
      <w:tr w:rsidR="00E56A40" w:rsidRPr="00FF4196" w14:paraId="3E7C970C"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6000EFA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bark, phloem</w:t>
            </w:r>
          </w:p>
        </w:tc>
        <w:tc>
          <w:tcPr>
            <w:tcW w:w="2205" w:type="dxa"/>
            <w:tcBorders>
              <w:top w:val="outset" w:sz="6" w:space="0" w:color="auto"/>
              <w:left w:val="outset" w:sz="6" w:space="0" w:color="auto"/>
              <w:bottom w:val="outset" w:sz="6" w:space="0" w:color="auto"/>
              <w:right w:val="outset" w:sz="6" w:space="0" w:color="auto"/>
            </w:tcBorders>
            <w:hideMark/>
          </w:tcPr>
          <w:p w14:paraId="1EF6A2B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PBS buffer</w:t>
            </w:r>
          </w:p>
        </w:tc>
        <w:tc>
          <w:tcPr>
            <w:tcW w:w="2805" w:type="dxa"/>
            <w:tcBorders>
              <w:top w:val="outset" w:sz="6" w:space="0" w:color="auto"/>
              <w:left w:val="outset" w:sz="6" w:space="0" w:color="auto"/>
              <w:bottom w:val="outset" w:sz="6" w:space="0" w:color="auto"/>
              <w:right w:val="outset" w:sz="6" w:space="0" w:color="auto"/>
            </w:tcBorders>
            <w:hideMark/>
          </w:tcPr>
          <w:p w14:paraId="76CD70D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lectin</w:t>
            </w:r>
          </w:p>
        </w:tc>
        <w:tc>
          <w:tcPr>
            <w:tcW w:w="2745" w:type="dxa"/>
            <w:tcBorders>
              <w:top w:val="outset" w:sz="6" w:space="0" w:color="auto"/>
              <w:left w:val="outset" w:sz="6" w:space="0" w:color="auto"/>
              <w:bottom w:val="outset" w:sz="6" w:space="0" w:color="auto"/>
              <w:right w:val="outset" w:sz="6" w:space="0" w:color="auto"/>
            </w:tcBorders>
            <w:hideMark/>
          </w:tcPr>
          <w:p w14:paraId="426FD07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galactose-related sugars binding</w:t>
            </w:r>
          </w:p>
        </w:tc>
        <w:tc>
          <w:tcPr>
            <w:tcW w:w="1905" w:type="dxa"/>
            <w:tcBorders>
              <w:top w:val="outset" w:sz="6" w:space="0" w:color="auto"/>
              <w:left w:val="outset" w:sz="6" w:space="0" w:color="auto"/>
              <w:bottom w:val="outset" w:sz="6" w:space="0" w:color="auto"/>
              <w:right w:val="outset" w:sz="6" w:space="0" w:color="auto"/>
            </w:tcBorders>
            <w:hideMark/>
          </w:tcPr>
          <w:p w14:paraId="569C1FC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Nishiguchi et al. 1997; Gietl &amp; Ziegler, 1980; </w:t>
            </w:r>
            <w:r w:rsidRPr="00FF4196">
              <w:rPr>
                <w:rFonts w:ascii="Times New Roman" w:eastAsia="Times New Roman" w:hAnsi="Times New Roman" w:cs="Times New Roman"/>
                <w:sz w:val="24"/>
                <w:szCs w:val="24"/>
                <w:lang w:val="en-US" w:eastAsia="pl-PL"/>
              </w:rPr>
              <w:lastRenderedPageBreak/>
              <w:t>Sulzenbacher et al. 2015</w:t>
            </w:r>
          </w:p>
        </w:tc>
      </w:tr>
      <w:tr w:rsidR="00E56A40" w:rsidRPr="00E56A40" w14:paraId="3D891CB4"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4CBB7B3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leaves</w:t>
            </w:r>
          </w:p>
        </w:tc>
        <w:tc>
          <w:tcPr>
            <w:tcW w:w="2205" w:type="dxa"/>
            <w:tcBorders>
              <w:top w:val="outset" w:sz="6" w:space="0" w:color="auto"/>
              <w:left w:val="outset" w:sz="6" w:space="0" w:color="auto"/>
              <w:bottom w:val="outset" w:sz="6" w:space="0" w:color="auto"/>
              <w:right w:val="outset" w:sz="6" w:space="0" w:color="auto"/>
            </w:tcBorders>
            <w:hideMark/>
          </w:tcPr>
          <w:p w14:paraId="4F725D8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water, petroleum ether, ethyl acetate or </w:t>
            </w:r>
            <w:r w:rsidRPr="00FF4196">
              <w:rPr>
                <w:rFonts w:ascii="Times New Roman" w:eastAsia="Times New Roman" w:hAnsi="Times New Roman" w:cs="Times New Roman"/>
                <w:i/>
                <w:iCs/>
                <w:sz w:val="24"/>
                <w:szCs w:val="24"/>
                <w:lang w:val="en-US" w:eastAsia="pl-PL"/>
              </w:rPr>
              <w:t>n</w:t>
            </w:r>
            <w:r w:rsidRPr="00FF4196">
              <w:rPr>
                <w:rFonts w:ascii="Times New Roman" w:eastAsia="Times New Roman" w:hAnsi="Times New Roman" w:cs="Times New Roman"/>
                <w:sz w:val="24"/>
                <w:szCs w:val="24"/>
                <w:lang w:val="en-US" w:eastAsia="pl-PL"/>
              </w:rPr>
              <w:t>-butanol extract from lyophilised ethanolic extract</w:t>
            </w:r>
          </w:p>
        </w:tc>
        <w:tc>
          <w:tcPr>
            <w:tcW w:w="2805" w:type="dxa"/>
            <w:tcBorders>
              <w:top w:val="outset" w:sz="6" w:space="0" w:color="auto"/>
              <w:left w:val="outset" w:sz="6" w:space="0" w:color="auto"/>
              <w:bottom w:val="outset" w:sz="6" w:space="0" w:color="auto"/>
              <w:right w:val="outset" w:sz="6" w:space="0" w:color="auto"/>
            </w:tcBorders>
            <w:hideMark/>
          </w:tcPr>
          <w:p w14:paraId="717B8DA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745" w:type="dxa"/>
            <w:tcBorders>
              <w:top w:val="outset" w:sz="6" w:space="0" w:color="auto"/>
              <w:left w:val="outset" w:sz="6" w:space="0" w:color="auto"/>
              <w:bottom w:val="outset" w:sz="6" w:space="0" w:color="auto"/>
              <w:right w:val="outset" w:sz="6" w:space="0" w:color="auto"/>
            </w:tcBorders>
            <w:hideMark/>
          </w:tcPr>
          <w:p w14:paraId="2BF6896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antifungal</w:t>
            </w:r>
          </w:p>
        </w:tc>
        <w:tc>
          <w:tcPr>
            <w:tcW w:w="1905" w:type="dxa"/>
            <w:tcBorders>
              <w:top w:val="outset" w:sz="6" w:space="0" w:color="auto"/>
              <w:left w:val="outset" w:sz="6" w:space="0" w:color="auto"/>
              <w:bottom w:val="outset" w:sz="6" w:space="0" w:color="auto"/>
              <w:right w:val="outset" w:sz="6" w:space="0" w:color="auto"/>
            </w:tcBorders>
            <w:hideMark/>
          </w:tcPr>
          <w:p w14:paraId="2C0100D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Zhang et al. 2008</w:t>
            </w:r>
          </w:p>
        </w:tc>
      </w:tr>
      <w:tr w:rsidR="00E56A40" w:rsidRPr="00E56A40" w14:paraId="6B50AF57"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501F09D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w:t>
            </w:r>
          </w:p>
        </w:tc>
        <w:tc>
          <w:tcPr>
            <w:tcW w:w="2205" w:type="dxa"/>
            <w:tcBorders>
              <w:top w:val="outset" w:sz="6" w:space="0" w:color="auto"/>
              <w:left w:val="outset" w:sz="6" w:space="0" w:color="auto"/>
              <w:bottom w:val="outset" w:sz="6" w:space="0" w:color="auto"/>
              <w:right w:val="outset" w:sz="6" w:space="0" w:color="auto"/>
            </w:tcBorders>
            <w:hideMark/>
          </w:tcPr>
          <w:p w14:paraId="51CA79B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water, petroleum ether, ethyl acetate or </w:t>
            </w:r>
            <w:r w:rsidRPr="00FF4196">
              <w:rPr>
                <w:rFonts w:ascii="Times New Roman" w:eastAsia="Times New Roman" w:hAnsi="Times New Roman" w:cs="Times New Roman"/>
                <w:i/>
                <w:iCs/>
                <w:sz w:val="24"/>
                <w:szCs w:val="24"/>
                <w:lang w:val="en-US" w:eastAsia="pl-PL"/>
              </w:rPr>
              <w:t>n</w:t>
            </w:r>
            <w:r w:rsidRPr="00FF4196">
              <w:rPr>
                <w:rFonts w:ascii="Times New Roman" w:eastAsia="Times New Roman" w:hAnsi="Times New Roman" w:cs="Times New Roman"/>
                <w:sz w:val="24"/>
                <w:szCs w:val="24"/>
                <w:lang w:val="en-US" w:eastAsia="pl-PL"/>
              </w:rPr>
              <w:t>-butanol extract from lyophilised ethanolic extract</w:t>
            </w:r>
          </w:p>
        </w:tc>
        <w:tc>
          <w:tcPr>
            <w:tcW w:w="2805" w:type="dxa"/>
            <w:tcBorders>
              <w:top w:val="outset" w:sz="6" w:space="0" w:color="auto"/>
              <w:left w:val="outset" w:sz="6" w:space="0" w:color="auto"/>
              <w:bottom w:val="outset" w:sz="6" w:space="0" w:color="auto"/>
              <w:right w:val="outset" w:sz="6" w:space="0" w:color="auto"/>
            </w:tcBorders>
            <w:hideMark/>
          </w:tcPr>
          <w:p w14:paraId="5FAD3DA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D-pinitol</w:t>
            </w:r>
          </w:p>
        </w:tc>
        <w:tc>
          <w:tcPr>
            <w:tcW w:w="2745" w:type="dxa"/>
            <w:tcBorders>
              <w:top w:val="outset" w:sz="6" w:space="0" w:color="auto"/>
              <w:left w:val="outset" w:sz="6" w:space="0" w:color="auto"/>
              <w:bottom w:val="outset" w:sz="6" w:space="0" w:color="auto"/>
              <w:right w:val="outset" w:sz="6" w:space="0" w:color="auto"/>
            </w:tcBorders>
            <w:hideMark/>
          </w:tcPr>
          <w:p w14:paraId="1423CC8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antifungal</w:t>
            </w:r>
          </w:p>
        </w:tc>
        <w:tc>
          <w:tcPr>
            <w:tcW w:w="1905" w:type="dxa"/>
            <w:tcBorders>
              <w:top w:val="outset" w:sz="6" w:space="0" w:color="auto"/>
              <w:left w:val="outset" w:sz="6" w:space="0" w:color="auto"/>
              <w:bottom w:val="outset" w:sz="6" w:space="0" w:color="auto"/>
              <w:right w:val="outset" w:sz="6" w:space="0" w:color="auto"/>
            </w:tcBorders>
            <w:hideMark/>
          </w:tcPr>
          <w:p w14:paraId="3C6AE14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Chen &amp; Dai, 2014</w:t>
            </w:r>
          </w:p>
        </w:tc>
      </w:tr>
      <w:tr w:rsidR="00E56A40" w:rsidRPr="00E56A40" w14:paraId="7380DA4C"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11637AF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 and flowers</w:t>
            </w:r>
          </w:p>
        </w:tc>
        <w:tc>
          <w:tcPr>
            <w:tcW w:w="2205" w:type="dxa"/>
            <w:tcBorders>
              <w:top w:val="outset" w:sz="6" w:space="0" w:color="auto"/>
              <w:left w:val="outset" w:sz="6" w:space="0" w:color="auto"/>
              <w:bottom w:val="outset" w:sz="6" w:space="0" w:color="auto"/>
              <w:right w:val="outset" w:sz="6" w:space="0" w:color="auto"/>
            </w:tcBorders>
            <w:hideMark/>
          </w:tcPr>
          <w:p w14:paraId="30703D6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methanolic and water extract</w:t>
            </w:r>
          </w:p>
        </w:tc>
        <w:tc>
          <w:tcPr>
            <w:tcW w:w="2805" w:type="dxa"/>
            <w:tcBorders>
              <w:top w:val="outset" w:sz="6" w:space="0" w:color="auto"/>
              <w:left w:val="outset" w:sz="6" w:space="0" w:color="auto"/>
              <w:bottom w:val="outset" w:sz="6" w:space="0" w:color="auto"/>
              <w:right w:val="outset" w:sz="6" w:space="0" w:color="auto"/>
            </w:tcBorders>
            <w:hideMark/>
          </w:tcPr>
          <w:p w14:paraId="5CF067B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flavone glycosides (acacetin, robinin)</w:t>
            </w:r>
          </w:p>
        </w:tc>
        <w:tc>
          <w:tcPr>
            <w:tcW w:w="2745" w:type="dxa"/>
            <w:tcBorders>
              <w:top w:val="outset" w:sz="6" w:space="0" w:color="auto"/>
              <w:left w:val="outset" w:sz="6" w:space="0" w:color="auto"/>
              <w:bottom w:val="outset" w:sz="6" w:space="0" w:color="auto"/>
              <w:right w:val="outset" w:sz="6" w:space="0" w:color="auto"/>
            </w:tcBorders>
            <w:hideMark/>
          </w:tcPr>
          <w:p w14:paraId="0DC6D1E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905" w:type="dxa"/>
            <w:tcBorders>
              <w:top w:val="outset" w:sz="6" w:space="0" w:color="auto"/>
              <w:left w:val="outset" w:sz="6" w:space="0" w:color="auto"/>
              <w:bottom w:val="outset" w:sz="6" w:space="0" w:color="auto"/>
              <w:right w:val="outset" w:sz="6" w:space="0" w:color="auto"/>
            </w:tcBorders>
            <w:hideMark/>
          </w:tcPr>
          <w:p w14:paraId="1F6EAA1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Veitch et al. 2010</w:t>
            </w:r>
          </w:p>
        </w:tc>
      </w:tr>
      <w:tr w:rsidR="00E56A40" w:rsidRPr="00E56A40" w14:paraId="366B4DDB"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3143858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w:t>
            </w:r>
          </w:p>
        </w:tc>
        <w:tc>
          <w:tcPr>
            <w:tcW w:w="2205" w:type="dxa"/>
            <w:tcBorders>
              <w:top w:val="outset" w:sz="6" w:space="0" w:color="auto"/>
              <w:left w:val="outset" w:sz="6" w:space="0" w:color="auto"/>
              <w:bottom w:val="outset" w:sz="6" w:space="0" w:color="auto"/>
              <w:right w:val="outset" w:sz="6" w:space="0" w:color="auto"/>
            </w:tcBorders>
            <w:hideMark/>
          </w:tcPr>
          <w:p w14:paraId="06675A74"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acetone containing</w:t>
            </w:r>
          </w:p>
          <w:p w14:paraId="4605BAA7"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either ascorbic or acetic acid extracts</w:t>
            </w:r>
          </w:p>
        </w:tc>
        <w:tc>
          <w:tcPr>
            <w:tcW w:w="2805" w:type="dxa"/>
            <w:tcBorders>
              <w:top w:val="outset" w:sz="6" w:space="0" w:color="auto"/>
              <w:left w:val="outset" w:sz="6" w:space="0" w:color="auto"/>
              <w:bottom w:val="outset" w:sz="6" w:space="0" w:color="auto"/>
              <w:right w:val="outset" w:sz="6" w:space="0" w:color="auto"/>
            </w:tcBorders>
            <w:hideMark/>
          </w:tcPr>
          <w:p w14:paraId="64D6807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tannins</w:t>
            </w:r>
          </w:p>
        </w:tc>
        <w:tc>
          <w:tcPr>
            <w:tcW w:w="2745" w:type="dxa"/>
            <w:tcBorders>
              <w:top w:val="outset" w:sz="6" w:space="0" w:color="auto"/>
              <w:left w:val="outset" w:sz="6" w:space="0" w:color="auto"/>
              <w:bottom w:val="outset" w:sz="6" w:space="0" w:color="auto"/>
              <w:right w:val="outset" w:sz="6" w:space="0" w:color="auto"/>
            </w:tcBorders>
            <w:hideMark/>
          </w:tcPr>
          <w:p w14:paraId="140A5ED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anthelmintic, antioxidative</w:t>
            </w:r>
          </w:p>
        </w:tc>
        <w:tc>
          <w:tcPr>
            <w:tcW w:w="1905" w:type="dxa"/>
            <w:tcBorders>
              <w:top w:val="outset" w:sz="6" w:space="0" w:color="auto"/>
              <w:left w:val="outset" w:sz="6" w:space="0" w:color="auto"/>
              <w:bottom w:val="outset" w:sz="6" w:space="0" w:color="auto"/>
              <w:right w:val="outset" w:sz="6" w:space="0" w:color="auto"/>
            </w:tcBorders>
            <w:hideMark/>
          </w:tcPr>
          <w:p w14:paraId="6CE55E9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Katiki et al. 2013</w:t>
            </w:r>
          </w:p>
        </w:tc>
      </w:tr>
      <w:tr w:rsidR="00E56A40" w:rsidRPr="00E56A40" w14:paraId="1C668478"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4D96939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wood dust</w:t>
            </w:r>
          </w:p>
        </w:tc>
        <w:tc>
          <w:tcPr>
            <w:tcW w:w="2205" w:type="dxa"/>
            <w:tcBorders>
              <w:top w:val="outset" w:sz="6" w:space="0" w:color="auto"/>
              <w:left w:val="outset" w:sz="6" w:space="0" w:color="auto"/>
              <w:bottom w:val="outset" w:sz="6" w:space="0" w:color="auto"/>
              <w:right w:val="outset" w:sz="6" w:space="0" w:color="auto"/>
            </w:tcBorders>
            <w:hideMark/>
          </w:tcPr>
          <w:p w14:paraId="24A9CBB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t>
            </w:r>
          </w:p>
        </w:tc>
        <w:tc>
          <w:tcPr>
            <w:tcW w:w="2805" w:type="dxa"/>
            <w:tcBorders>
              <w:top w:val="outset" w:sz="6" w:space="0" w:color="auto"/>
              <w:left w:val="outset" w:sz="6" w:space="0" w:color="auto"/>
              <w:bottom w:val="outset" w:sz="6" w:space="0" w:color="auto"/>
              <w:right w:val="outset" w:sz="6" w:space="0" w:color="auto"/>
            </w:tcBorders>
            <w:hideMark/>
          </w:tcPr>
          <w:p w14:paraId="20F8477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wood allergens</w:t>
            </w:r>
          </w:p>
        </w:tc>
        <w:tc>
          <w:tcPr>
            <w:tcW w:w="2745" w:type="dxa"/>
            <w:tcBorders>
              <w:top w:val="outset" w:sz="6" w:space="0" w:color="auto"/>
              <w:left w:val="outset" w:sz="6" w:space="0" w:color="auto"/>
              <w:bottom w:val="outset" w:sz="6" w:space="0" w:color="auto"/>
              <w:right w:val="outset" w:sz="6" w:space="0" w:color="auto"/>
            </w:tcBorders>
            <w:hideMark/>
          </w:tcPr>
          <w:p w14:paraId="6FD9F42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allergenic (asthma)</w:t>
            </w:r>
          </w:p>
        </w:tc>
        <w:tc>
          <w:tcPr>
            <w:tcW w:w="1905" w:type="dxa"/>
            <w:tcBorders>
              <w:top w:val="outset" w:sz="6" w:space="0" w:color="auto"/>
              <w:left w:val="outset" w:sz="6" w:space="0" w:color="auto"/>
              <w:bottom w:val="outset" w:sz="6" w:space="0" w:color="auto"/>
              <w:right w:val="outset" w:sz="6" w:space="0" w:color="auto"/>
            </w:tcBorders>
            <w:hideMark/>
          </w:tcPr>
          <w:p w14:paraId="17791D5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Kespohl et al. 2006</w:t>
            </w:r>
          </w:p>
        </w:tc>
      </w:tr>
      <w:tr w:rsidR="00E56A40" w:rsidRPr="00E56A40" w14:paraId="264F612E"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23F4B37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whole tree</w:t>
            </w:r>
          </w:p>
        </w:tc>
        <w:tc>
          <w:tcPr>
            <w:tcW w:w="2205" w:type="dxa"/>
            <w:tcBorders>
              <w:top w:val="outset" w:sz="6" w:space="0" w:color="auto"/>
              <w:left w:val="outset" w:sz="6" w:space="0" w:color="auto"/>
              <w:bottom w:val="outset" w:sz="6" w:space="0" w:color="auto"/>
              <w:right w:val="outset" w:sz="6" w:space="0" w:color="auto"/>
            </w:tcBorders>
            <w:hideMark/>
          </w:tcPr>
          <w:p w14:paraId="7D963EE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ethanolic extract</w:t>
            </w:r>
          </w:p>
        </w:tc>
        <w:tc>
          <w:tcPr>
            <w:tcW w:w="2805" w:type="dxa"/>
            <w:tcBorders>
              <w:top w:val="outset" w:sz="6" w:space="0" w:color="auto"/>
              <w:left w:val="outset" w:sz="6" w:space="0" w:color="auto"/>
              <w:bottom w:val="outset" w:sz="6" w:space="0" w:color="auto"/>
              <w:right w:val="outset" w:sz="6" w:space="0" w:color="auto"/>
            </w:tcBorders>
            <w:hideMark/>
          </w:tcPr>
          <w:p w14:paraId="07F7761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acacetin, secundiflorol I, mucronulatol, isomucronulatol, isovestitol</w:t>
            </w:r>
          </w:p>
        </w:tc>
        <w:tc>
          <w:tcPr>
            <w:tcW w:w="2745" w:type="dxa"/>
            <w:tcBorders>
              <w:top w:val="outset" w:sz="6" w:space="0" w:color="auto"/>
              <w:left w:val="outset" w:sz="6" w:space="0" w:color="auto"/>
              <w:bottom w:val="outset" w:sz="6" w:space="0" w:color="auto"/>
              <w:right w:val="outset" w:sz="6" w:space="0" w:color="auto"/>
            </w:tcBorders>
            <w:hideMark/>
          </w:tcPr>
          <w:p w14:paraId="3B79175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cytotoxic</w:t>
            </w:r>
          </w:p>
        </w:tc>
        <w:tc>
          <w:tcPr>
            <w:tcW w:w="1905" w:type="dxa"/>
            <w:tcBorders>
              <w:top w:val="outset" w:sz="6" w:space="0" w:color="auto"/>
              <w:left w:val="outset" w:sz="6" w:space="0" w:color="auto"/>
              <w:bottom w:val="outset" w:sz="6" w:space="0" w:color="auto"/>
              <w:right w:val="outset" w:sz="6" w:space="0" w:color="auto"/>
            </w:tcBorders>
            <w:hideMark/>
          </w:tcPr>
          <w:p w14:paraId="2F81EC3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Tian &amp; McLaughlin, 2000</w:t>
            </w:r>
          </w:p>
        </w:tc>
      </w:tr>
      <w:tr w:rsidR="00E56A40" w:rsidRPr="00E56A40" w14:paraId="6C5BBF5D"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4E4FF6D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plant branches</w:t>
            </w:r>
          </w:p>
        </w:tc>
        <w:tc>
          <w:tcPr>
            <w:tcW w:w="2205" w:type="dxa"/>
            <w:tcBorders>
              <w:top w:val="outset" w:sz="6" w:space="0" w:color="auto"/>
              <w:left w:val="outset" w:sz="6" w:space="0" w:color="auto"/>
              <w:bottom w:val="outset" w:sz="6" w:space="0" w:color="auto"/>
              <w:right w:val="outset" w:sz="6" w:space="0" w:color="auto"/>
            </w:tcBorders>
            <w:hideMark/>
          </w:tcPr>
          <w:p w14:paraId="6CBD0A0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water, n-hexane, chloroform, ethyl acetate and n-butanol extract from lyophilised methanolic extract</w:t>
            </w:r>
          </w:p>
        </w:tc>
        <w:tc>
          <w:tcPr>
            <w:tcW w:w="2805" w:type="dxa"/>
            <w:tcBorders>
              <w:top w:val="outset" w:sz="6" w:space="0" w:color="auto"/>
              <w:left w:val="outset" w:sz="6" w:space="0" w:color="auto"/>
              <w:bottom w:val="outset" w:sz="6" w:space="0" w:color="auto"/>
              <w:right w:val="outset" w:sz="6" w:space="0" w:color="auto"/>
            </w:tcBorders>
            <w:hideMark/>
          </w:tcPr>
          <w:p w14:paraId="2B371878"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acacetin, amygdalin, fisetin, taxifolin, myricetin, apigenin, rutin</w:t>
            </w:r>
          </w:p>
        </w:tc>
        <w:tc>
          <w:tcPr>
            <w:tcW w:w="2745" w:type="dxa"/>
            <w:tcBorders>
              <w:top w:val="outset" w:sz="6" w:space="0" w:color="auto"/>
              <w:left w:val="outset" w:sz="6" w:space="0" w:color="auto"/>
              <w:bottom w:val="outset" w:sz="6" w:space="0" w:color="auto"/>
              <w:right w:val="outset" w:sz="6" w:space="0" w:color="auto"/>
            </w:tcBorders>
            <w:hideMark/>
          </w:tcPr>
          <w:p w14:paraId="7BB290B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antibacterial</w:t>
            </w:r>
          </w:p>
        </w:tc>
        <w:tc>
          <w:tcPr>
            <w:tcW w:w="1905" w:type="dxa"/>
            <w:tcBorders>
              <w:top w:val="outset" w:sz="6" w:space="0" w:color="auto"/>
              <w:left w:val="outset" w:sz="6" w:space="0" w:color="auto"/>
              <w:bottom w:val="outset" w:sz="6" w:space="0" w:color="auto"/>
              <w:right w:val="outset" w:sz="6" w:space="0" w:color="auto"/>
            </w:tcBorders>
            <w:hideMark/>
          </w:tcPr>
          <w:p w14:paraId="0C67274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Patra et al. 2015</w:t>
            </w:r>
          </w:p>
        </w:tc>
      </w:tr>
      <w:tr w:rsidR="00E56A40" w:rsidRPr="00E56A40" w14:paraId="30A50D63"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16C93F6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root-tip</w:t>
            </w:r>
          </w:p>
        </w:tc>
        <w:tc>
          <w:tcPr>
            <w:tcW w:w="2205" w:type="dxa"/>
            <w:tcBorders>
              <w:top w:val="outset" w:sz="6" w:space="0" w:color="auto"/>
              <w:left w:val="outset" w:sz="6" w:space="0" w:color="auto"/>
              <w:bottom w:val="outset" w:sz="6" w:space="0" w:color="auto"/>
              <w:right w:val="outset" w:sz="6" w:space="0" w:color="auto"/>
            </w:tcBorders>
            <w:hideMark/>
          </w:tcPr>
          <w:p w14:paraId="4193477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PBS buffer with2-mercaptoethanol</w:t>
            </w:r>
          </w:p>
        </w:tc>
        <w:tc>
          <w:tcPr>
            <w:tcW w:w="2805" w:type="dxa"/>
            <w:tcBorders>
              <w:top w:val="outset" w:sz="6" w:space="0" w:color="auto"/>
              <w:left w:val="outset" w:sz="6" w:space="0" w:color="auto"/>
              <w:bottom w:val="outset" w:sz="6" w:space="0" w:color="auto"/>
              <w:right w:val="outset" w:sz="6" w:space="0" w:color="auto"/>
            </w:tcBorders>
            <w:hideMark/>
          </w:tcPr>
          <w:p w14:paraId="4A2A48C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lectins</w:t>
            </w:r>
          </w:p>
        </w:tc>
        <w:tc>
          <w:tcPr>
            <w:tcW w:w="2745" w:type="dxa"/>
            <w:tcBorders>
              <w:top w:val="outset" w:sz="6" w:space="0" w:color="auto"/>
              <w:left w:val="outset" w:sz="6" w:space="0" w:color="auto"/>
              <w:bottom w:val="outset" w:sz="6" w:space="0" w:color="auto"/>
              <w:right w:val="outset" w:sz="6" w:space="0" w:color="auto"/>
            </w:tcBorders>
            <w:hideMark/>
          </w:tcPr>
          <w:p w14:paraId="5337916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horse erythrocyte agglutination</w:t>
            </w:r>
          </w:p>
        </w:tc>
        <w:tc>
          <w:tcPr>
            <w:tcW w:w="1905" w:type="dxa"/>
            <w:tcBorders>
              <w:top w:val="outset" w:sz="6" w:space="0" w:color="auto"/>
              <w:left w:val="outset" w:sz="6" w:space="0" w:color="auto"/>
              <w:bottom w:val="outset" w:sz="6" w:space="0" w:color="auto"/>
              <w:right w:val="outset" w:sz="6" w:space="0" w:color="auto"/>
            </w:tcBorders>
            <w:hideMark/>
          </w:tcPr>
          <w:p w14:paraId="15D1E75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Duverger &amp; Demotte, 1997</w:t>
            </w:r>
          </w:p>
        </w:tc>
      </w:tr>
      <w:tr w:rsidR="00E56A40" w:rsidRPr="00FF4196" w14:paraId="48F8531F"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46FF507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205" w:type="dxa"/>
            <w:tcBorders>
              <w:top w:val="outset" w:sz="6" w:space="0" w:color="auto"/>
              <w:left w:val="outset" w:sz="6" w:space="0" w:color="auto"/>
              <w:bottom w:val="outset" w:sz="6" w:space="0" w:color="auto"/>
              <w:right w:val="outset" w:sz="6" w:space="0" w:color="auto"/>
            </w:tcBorders>
            <w:hideMark/>
          </w:tcPr>
          <w:p w14:paraId="4BBE428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water</w:t>
            </w:r>
          </w:p>
        </w:tc>
        <w:tc>
          <w:tcPr>
            <w:tcW w:w="2805" w:type="dxa"/>
            <w:tcBorders>
              <w:top w:val="outset" w:sz="6" w:space="0" w:color="auto"/>
              <w:left w:val="outset" w:sz="6" w:space="0" w:color="auto"/>
              <w:bottom w:val="outset" w:sz="6" w:space="0" w:color="auto"/>
              <w:right w:val="outset" w:sz="6" w:space="0" w:color="auto"/>
            </w:tcBorders>
            <w:hideMark/>
          </w:tcPr>
          <w:p w14:paraId="5D0B7E2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agglutinin</w:t>
            </w:r>
          </w:p>
        </w:tc>
        <w:tc>
          <w:tcPr>
            <w:tcW w:w="2745" w:type="dxa"/>
            <w:tcBorders>
              <w:top w:val="outset" w:sz="6" w:space="0" w:color="auto"/>
              <w:left w:val="outset" w:sz="6" w:space="0" w:color="auto"/>
              <w:bottom w:val="outset" w:sz="6" w:space="0" w:color="auto"/>
              <w:right w:val="outset" w:sz="6" w:space="0" w:color="auto"/>
            </w:tcBorders>
            <w:hideMark/>
          </w:tcPr>
          <w:p w14:paraId="1CF365B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anthelmintic</w:t>
            </w:r>
          </w:p>
        </w:tc>
        <w:tc>
          <w:tcPr>
            <w:tcW w:w="1905" w:type="dxa"/>
            <w:tcBorders>
              <w:top w:val="outset" w:sz="6" w:space="0" w:color="auto"/>
              <w:left w:val="outset" w:sz="6" w:space="0" w:color="auto"/>
              <w:bottom w:val="outset" w:sz="6" w:space="0" w:color="auto"/>
              <w:right w:val="outset" w:sz="6" w:space="0" w:color="auto"/>
            </w:tcBorders>
            <w:hideMark/>
          </w:tcPr>
          <w:p w14:paraId="409255F4"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Ríos-de Álvarez et al. 2012</w:t>
            </w:r>
          </w:p>
        </w:tc>
      </w:tr>
      <w:tr w:rsidR="00E56A40" w:rsidRPr="00E56A40" w14:paraId="51DE374A"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7999B22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205" w:type="dxa"/>
            <w:tcBorders>
              <w:top w:val="outset" w:sz="6" w:space="0" w:color="auto"/>
              <w:left w:val="outset" w:sz="6" w:space="0" w:color="auto"/>
              <w:bottom w:val="outset" w:sz="6" w:space="0" w:color="auto"/>
              <w:right w:val="outset" w:sz="6" w:space="0" w:color="auto"/>
            </w:tcBorders>
            <w:hideMark/>
          </w:tcPr>
          <w:p w14:paraId="1854D04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ethanolic extracts</w:t>
            </w:r>
          </w:p>
        </w:tc>
        <w:tc>
          <w:tcPr>
            <w:tcW w:w="2805" w:type="dxa"/>
            <w:tcBorders>
              <w:top w:val="outset" w:sz="6" w:space="0" w:color="auto"/>
              <w:left w:val="outset" w:sz="6" w:space="0" w:color="auto"/>
              <w:bottom w:val="outset" w:sz="6" w:space="0" w:color="auto"/>
              <w:right w:val="outset" w:sz="6" w:space="0" w:color="auto"/>
            </w:tcBorders>
            <w:hideMark/>
          </w:tcPr>
          <w:p w14:paraId="08C7C1C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robinlin (C11 homo-monoterpene)</w:t>
            </w:r>
          </w:p>
        </w:tc>
        <w:tc>
          <w:tcPr>
            <w:tcW w:w="2745" w:type="dxa"/>
            <w:tcBorders>
              <w:top w:val="outset" w:sz="6" w:space="0" w:color="auto"/>
              <w:left w:val="outset" w:sz="6" w:space="0" w:color="auto"/>
              <w:bottom w:val="outset" w:sz="6" w:space="0" w:color="auto"/>
              <w:right w:val="outset" w:sz="6" w:space="0" w:color="auto"/>
            </w:tcBorders>
            <w:hideMark/>
          </w:tcPr>
          <w:p w14:paraId="72611A9F"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cytotoxic in 7-days MTT assay and in BST assay</w:t>
            </w:r>
          </w:p>
        </w:tc>
        <w:tc>
          <w:tcPr>
            <w:tcW w:w="1905" w:type="dxa"/>
            <w:tcBorders>
              <w:top w:val="outset" w:sz="6" w:space="0" w:color="auto"/>
              <w:left w:val="outset" w:sz="6" w:space="0" w:color="auto"/>
              <w:bottom w:val="outset" w:sz="6" w:space="0" w:color="auto"/>
              <w:right w:val="outset" w:sz="6" w:space="0" w:color="auto"/>
            </w:tcBorders>
            <w:hideMark/>
          </w:tcPr>
          <w:p w14:paraId="12473C3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Tian et al. 2001</w:t>
            </w:r>
          </w:p>
        </w:tc>
      </w:tr>
      <w:tr w:rsidR="00E56A40" w:rsidRPr="00E56A40" w14:paraId="3FFF13D2"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54FBF0E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205" w:type="dxa"/>
            <w:tcBorders>
              <w:top w:val="outset" w:sz="6" w:space="0" w:color="auto"/>
              <w:left w:val="outset" w:sz="6" w:space="0" w:color="auto"/>
              <w:bottom w:val="outset" w:sz="6" w:space="0" w:color="auto"/>
              <w:right w:val="outset" w:sz="6" w:space="0" w:color="auto"/>
            </w:tcBorders>
            <w:hideMark/>
          </w:tcPr>
          <w:p w14:paraId="605540F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c>
        <w:tc>
          <w:tcPr>
            <w:tcW w:w="2805" w:type="dxa"/>
            <w:tcBorders>
              <w:top w:val="outset" w:sz="6" w:space="0" w:color="auto"/>
              <w:left w:val="outset" w:sz="6" w:space="0" w:color="auto"/>
              <w:bottom w:val="outset" w:sz="6" w:space="0" w:color="auto"/>
              <w:right w:val="outset" w:sz="6" w:space="0" w:color="auto"/>
            </w:tcBorders>
            <w:hideMark/>
          </w:tcPr>
          <w:p w14:paraId="41A9C09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toxoalbumin</w:t>
            </w:r>
          </w:p>
        </w:tc>
        <w:tc>
          <w:tcPr>
            <w:tcW w:w="2745" w:type="dxa"/>
            <w:tcBorders>
              <w:top w:val="outset" w:sz="6" w:space="0" w:color="auto"/>
              <w:left w:val="outset" w:sz="6" w:space="0" w:color="auto"/>
              <w:bottom w:val="outset" w:sz="6" w:space="0" w:color="auto"/>
              <w:right w:val="outset" w:sz="6" w:space="0" w:color="auto"/>
            </w:tcBorders>
            <w:hideMark/>
          </w:tcPr>
          <w:p w14:paraId="284DFC3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toxic</w:t>
            </w:r>
          </w:p>
        </w:tc>
        <w:tc>
          <w:tcPr>
            <w:tcW w:w="1905" w:type="dxa"/>
            <w:tcBorders>
              <w:top w:val="outset" w:sz="6" w:space="0" w:color="auto"/>
              <w:left w:val="outset" w:sz="6" w:space="0" w:color="auto"/>
              <w:bottom w:val="outset" w:sz="6" w:space="0" w:color="auto"/>
              <w:right w:val="outset" w:sz="6" w:space="0" w:color="auto"/>
            </w:tcBorders>
            <w:hideMark/>
          </w:tcPr>
          <w:p w14:paraId="52D13C3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Kaland et al. 2015</w:t>
            </w:r>
          </w:p>
        </w:tc>
      </w:tr>
    </w:tbl>
    <w:p w14:paraId="37A827F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 no data</w:t>
      </w:r>
    </w:p>
    <w:p w14:paraId="4912364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5AB90BD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p w14:paraId="080762D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lastRenderedPageBreak/>
        <w:t xml:space="preserve">Talas-Oğraş T, Ipekçi Z, Bajroviç K, Gözükirmizi N., Antibacterial activity of seed proteins of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Fitoterapia. 2005;76(1):67-72.</w:t>
      </w:r>
    </w:p>
    <w:p w14:paraId="1E669224"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Tian F, Chang CJ, Grutzner JB, Nichols DE, McLaughlin JL. Robinlin: a novel bioactive homo-monoterpene from </w:t>
      </w:r>
      <w:r w:rsidRPr="00FF4196">
        <w:rPr>
          <w:rFonts w:ascii="Times New Roman" w:eastAsia="Times New Roman" w:hAnsi="Times New Roman" w:cs="Times New Roman"/>
          <w:i/>
          <w:iCs/>
          <w:sz w:val="24"/>
          <w:szCs w:val="24"/>
          <w:lang w:val="en-US" w:eastAsia="pl-PL"/>
        </w:rPr>
        <w:t xml:space="preserve">Robinia pseudoacacia </w:t>
      </w:r>
      <w:r w:rsidRPr="00FF4196">
        <w:rPr>
          <w:rFonts w:ascii="Times New Roman" w:eastAsia="Times New Roman" w:hAnsi="Times New Roman" w:cs="Times New Roman"/>
          <w:sz w:val="24"/>
          <w:szCs w:val="24"/>
          <w:lang w:val="en-US" w:eastAsia="pl-PL"/>
        </w:rPr>
        <w:t>L. (Fabaceae). Bioorg Med Chem Lett. 2001;11(19):2603-6.</w:t>
      </w:r>
    </w:p>
    <w:p w14:paraId="60013AF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Spiteller P, Steglich W. Biosynthesis of 2-aminobenzaldehyde in flowers of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and </w:t>
      </w:r>
      <w:r w:rsidRPr="00FF4196">
        <w:rPr>
          <w:rFonts w:ascii="Times New Roman" w:eastAsia="Times New Roman" w:hAnsi="Times New Roman" w:cs="Times New Roman"/>
          <w:i/>
          <w:iCs/>
          <w:sz w:val="24"/>
          <w:szCs w:val="24"/>
          <w:lang w:val="en-US" w:eastAsia="pl-PL"/>
        </w:rPr>
        <w:t>Philadelphus coronarius</w:t>
      </w:r>
      <w:r w:rsidRPr="00FF4196">
        <w:rPr>
          <w:rFonts w:ascii="Times New Roman" w:eastAsia="Times New Roman" w:hAnsi="Times New Roman" w:cs="Times New Roman"/>
          <w:sz w:val="24"/>
          <w:szCs w:val="24"/>
          <w:lang w:val="en-US" w:eastAsia="pl-PL"/>
        </w:rPr>
        <w:t>. Phytochemistry. 2001;57(3):361-3.</w:t>
      </w:r>
    </w:p>
    <w:p w14:paraId="2A408919"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Nishiguchi M, Yoshida K, Sumizono T, Tazaki K. Studies by site-directed mutagenesis of the carbohydrate-binding properties of a bark lectin from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FEBS Lett. 1997;403(3):294-8.</w:t>
      </w:r>
    </w:p>
    <w:p w14:paraId="08D85CB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Gietl C, Ziegler H. Distribution of Carbohydrate-binding Proteins in Different Tissues of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L. Biochem Physiol Pflanzen. 1980;175:58-66.</w:t>
      </w:r>
    </w:p>
    <w:p w14:paraId="6F69FA79"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Veitch NC, Elliott PC, Kite GC, Lewis GP. Flavonoid glycosides of the black locust tree,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(Leguminosae). Phytochemistry. 2010;71(4):479-86.</w:t>
      </w:r>
    </w:p>
    <w:p w14:paraId="4FBAE8E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Kaland ME, Klein-Schwartz W, Anderson BD. Toxalbumin exposures: 12 years' experience of U.S. poison centers. Toxicon. 2015;99:125-9.</w:t>
      </w:r>
    </w:p>
    <w:p w14:paraId="50866E0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Yang S, Li G, Zhao Z, Feng M, Fu J, Huang Z, Song M, Lin S. The Taishan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polysaccharides enhance immune effects of rabbit haemorrhagic disease virus inactivated vaccines. Microbial Pathog. 2017;112:70-75.</w:t>
      </w:r>
    </w:p>
    <w:p w14:paraId="50385A56"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Kespohl S, Merget R, Overlack A, Raulf-Heimsoth M. Detection of novel occupational wood allergens in locust wood dust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L.). J Allergy Clin Immunol. 2006;118(2):522-524.</w:t>
      </w:r>
    </w:p>
    <w:p w14:paraId="1CEE73E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Zhang ZY, Dai GH, Zhuge YY, Li YB. Protective effect of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Linn1 extracts against cucumber powdery mildew fungus, </w:t>
      </w:r>
      <w:r w:rsidRPr="00FF4196">
        <w:rPr>
          <w:rFonts w:ascii="Times New Roman" w:eastAsia="Times New Roman" w:hAnsi="Times New Roman" w:cs="Times New Roman"/>
          <w:i/>
          <w:iCs/>
          <w:sz w:val="24"/>
          <w:szCs w:val="24"/>
          <w:lang w:val="en-US" w:eastAsia="pl-PL"/>
        </w:rPr>
        <w:t xml:space="preserve">Sphaerotheca fuliginea. </w:t>
      </w:r>
      <w:r w:rsidRPr="00FF4196">
        <w:rPr>
          <w:rFonts w:ascii="Times New Roman" w:eastAsia="Times New Roman" w:hAnsi="Times New Roman" w:cs="Times New Roman"/>
          <w:sz w:val="24"/>
          <w:szCs w:val="24"/>
          <w:lang w:val="en-US" w:eastAsia="pl-PL"/>
        </w:rPr>
        <w:t>Crop Protect. 2008;27:920-925.</w:t>
      </w:r>
    </w:p>
    <w:p w14:paraId="02E04207"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Jiang H, Wang J, Song L, Cao X, Yao X, Tang F, Yue Y. Chemical composition of an insecticidal extract from </w:t>
      </w:r>
      <w:r w:rsidRPr="00FF4196">
        <w:rPr>
          <w:rFonts w:ascii="Times New Roman" w:eastAsia="Times New Roman" w:hAnsi="Times New Roman" w:cs="Times New Roman"/>
          <w:i/>
          <w:iCs/>
          <w:sz w:val="24"/>
          <w:szCs w:val="24"/>
          <w:lang w:val="en-US" w:eastAsia="pl-PL"/>
        </w:rPr>
        <w:t xml:space="preserve">Robinia pseudacacia </w:t>
      </w:r>
      <w:r w:rsidRPr="00FF4196">
        <w:rPr>
          <w:rFonts w:ascii="Times New Roman" w:eastAsia="Times New Roman" w:hAnsi="Times New Roman" w:cs="Times New Roman"/>
          <w:sz w:val="24"/>
          <w:szCs w:val="24"/>
          <w:lang w:val="en-US" w:eastAsia="pl-PL"/>
        </w:rPr>
        <w:t>L. seeds and it's efficacy against aphids in oilseed rape. Crop Protect. 2018;104:1-6.</w:t>
      </w:r>
    </w:p>
    <w:p w14:paraId="7051BE5D"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Chen J, Dai G-H. Effect of d-pinitol isolated and identified from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against cucumber powdery mildew. Scientia Horticulturae, 2014;176:38-44.</w:t>
      </w:r>
    </w:p>
    <w:p w14:paraId="0B00DBF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Sarikurkcua C, Kocak MS, Tepec B, Uren MC. An alternative antioxidative and enzyme inhibitory agent fromTurkey: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L. Ind. Crops Prod. 2015;78:110-115.</w:t>
      </w:r>
    </w:p>
    <w:p w14:paraId="3B046089"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Sulzenbacher G, Roig-Zamboni V, Peumans WJ, Henrissat B, van Damme EJM, Bourne Y. Structural basis for carbohydrate binding properties of a plant chitinase-like agglutinin with conserved catalytic machinery. J Struct Biol 2015;190:115-121.</w:t>
      </w:r>
    </w:p>
    <w:p w14:paraId="31F849A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lastRenderedPageBreak/>
        <w:t xml:space="preserve">Liang MF, Liu GH, Zhao QY, Yang SF, Zhong SX, Cui GL, He XH, Zhao X, Guo FX, Wu C, Zhu RL. Effects of Taishan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Polysaccharides on immune function in chickens. Int Immunopharmacol. 2013;15(4):661-5.</w:t>
      </w:r>
    </w:p>
    <w:p w14:paraId="1D2D6182"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Tian F, McLaughlin JL. Bioactive flavonoids from the black locust tree, </w:t>
      </w:r>
      <w:r w:rsidRPr="00FF4196">
        <w:rPr>
          <w:rFonts w:ascii="Times New Roman" w:eastAsia="Times New Roman" w:hAnsi="Times New Roman" w:cs="Times New Roman"/>
          <w:i/>
          <w:iCs/>
          <w:sz w:val="24"/>
          <w:szCs w:val="24"/>
          <w:lang w:val="en-US" w:eastAsia="pl-PL"/>
        </w:rPr>
        <w:t xml:space="preserve">Robinia pseudoacacia. </w:t>
      </w:r>
      <w:r w:rsidRPr="00FF4196">
        <w:rPr>
          <w:rFonts w:ascii="Times New Roman" w:eastAsia="Times New Roman" w:hAnsi="Times New Roman" w:cs="Times New Roman"/>
          <w:sz w:val="24"/>
          <w:szCs w:val="24"/>
          <w:lang w:val="en-US" w:eastAsia="pl-PL"/>
        </w:rPr>
        <w:t>Pharmaceut Biol 2000;38(3):229-234.</w:t>
      </w:r>
    </w:p>
    <w:p w14:paraId="71027EA8"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Hamada K, Nishida T, Yamauchi K, Fukushima K, Kondo R, Tsutsumi Y. 4-Coumarate:coenzyme A ligase in black locust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catalyses the conversion of sinapate to sinapoyl-CoA. J Plant Res. 2004;117(4):303-10.</w:t>
      </w:r>
    </w:p>
    <w:p w14:paraId="07C1E959"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Compés E, Hernández E, Quirce S, Palomares O, Rodríguez R, Cuesta J, Sastre J, Villalba M. Hypersensitivity to black locust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pollen: "allergy mirages". Ann Allergy Asthma Immunol. 2006;96(4):586-92.</w:t>
      </w:r>
    </w:p>
    <w:p w14:paraId="3521A79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Kim T, Lee W, Jeong KH, Song JH, Park SH, Choi P, Kim SN, Lee S, Ham J. Total synthesis and dual PPAR</w:t>
      </w:r>
      <w:r w:rsidRPr="00E56A40">
        <w:rPr>
          <w:rFonts w:ascii="Times New Roman" w:eastAsia="Times New Roman" w:hAnsi="Times New Roman" w:cs="Times New Roman"/>
          <w:sz w:val="24"/>
          <w:szCs w:val="24"/>
          <w:lang w:eastAsia="pl-PL"/>
        </w:rPr>
        <w:t>α</w:t>
      </w:r>
      <w:r w:rsidRPr="00FF4196">
        <w:rPr>
          <w:rFonts w:ascii="Times New Roman" w:eastAsia="Times New Roman" w:hAnsi="Times New Roman" w:cs="Times New Roman"/>
          <w:sz w:val="24"/>
          <w:szCs w:val="24"/>
          <w:lang w:val="en-US" w:eastAsia="pl-PL"/>
        </w:rPr>
        <w:t>/</w:t>
      </w:r>
      <w:r w:rsidRPr="00E56A40">
        <w:rPr>
          <w:rFonts w:ascii="Times New Roman" w:eastAsia="Times New Roman" w:hAnsi="Times New Roman" w:cs="Times New Roman"/>
          <w:sz w:val="24"/>
          <w:szCs w:val="24"/>
          <w:lang w:eastAsia="pl-PL"/>
        </w:rPr>
        <w:t>γ</w:t>
      </w:r>
      <w:r w:rsidRPr="00FF4196">
        <w:rPr>
          <w:rFonts w:ascii="Times New Roman" w:eastAsia="Times New Roman" w:hAnsi="Times New Roman" w:cs="Times New Roman"/>
          <w:sz w:val="24"/>
          <w:szCs w:val="24"/>
          <w:lang w:val="en-US" w:eastAsia="pl-PL"/>
        </w:rPr>
        <w:t xml:space="preserve"> agonist effects of amorphastilbol and its synthetic derivatives. Bioorg Med Chem Lett. 2012;22(12):4122-6.</w:t>
      </w:r>
    </w:p>
    <w:p w14:paraId="67281949"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Ríos-de Álvarez L, Jackson F, Greer A, Bartley Y, Bartley DJ, Grant G, Huntley JF.</w:t>
      </w:r>
      <w:r w:rsidRPr="00FF4196">
        <w:rPr>
          <w:rFonts w:ascii="Times New Roman" w:eastAsia="Times New Roman" w:hAnsi="Times New Roman" w:cs="Times New Roman"/>
          <w:i/>
          <w:iCs/>
          <w:sz w:val="24"/>
          <w:szCs w:val="24"/>
          <w:lang w:val="en-US" w:eastAsia="pl-PL"/>
        </w:rPr>
        <w:t xml:space="preserve"> In vitro</w:t>
      </w:r>
      <w:r w:rsidRPr="00FF4196">
        <w:rPr>
          <w:rFonts w:ascii="Times New Roman" w:eastAsia="Times New Roman" w:hAnsi="Times New Roman" w:cs="Times New Roman"/>
          <w:sz w:val="24"/>
          <w:szCs w:val="24"/>
          <w:lang w:val="en-US" w:eastAsia="pl-PL"/>
        </w:rPr>
        <w:t xml:space="preserve"> screening of plant lectins and tropical plant extracts for anthelmintic properties. Vet Parasitol. 2012;186(3-4):390-8.</w:t>
      </w:r>
    </w:p>
    <w:p w14:paraId="085EEAE7"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Katiki LM, Ferreira JF, Gonzalez JM, Zajac AM, Lindsay DS, Chagas AC, Amarante AF. Anthelmintic effect of plant extracts containing condensed and hydrolyzable tannins on </w:t>
      </w:r>
      <w:r w:rsidRPr="00FF4196">
        <w:rPr>
          <w:rFonts w:ascii="Times New Roman" w:eastAsia="Times New Roman" w:hAnsi="Times New Roman" w:cs="Times New Roman"/>
          <w:i/>
          <w:iCs/>
          <w:sz w:val="24"/>
          <w:szCs w:val="24"/>
          <w:lang w:val="en-US" w:eastAsia="pl-PL"/>
        </w:rPr>
        <w:t>Caenorhabditis elegans</w:t>
      </w:r>
      <w:r w:rsidRPr="00FF4196">
        <w:rPr>
          <w:rFonts w:ascii="Times New Roman" w:eastAsia="Times New Roman" w:hAnsi="Times New Roman" w:cs="Times New Roman"/>
          <w:sz w:val="24"/>
          <w:szCs w:val="24"/>
          <w:lang w:val="en-US" w:eastAsia="pl-PL"/>
        </w:rPr>
        <w:t>, and their antioxidant capacity. Vet Parasitol. 2013;192(1-3):218-27.</w:t>
      </w:r>
    </w:p>
    <w:p w14:paraId="3C664A2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Patra JK, Kim ES, Oh K, Kim HJ, Dhakal R, Kim Y, Baek KH. Bactericidal effect of extracts and metabolites of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L. on </w:t>
      </w:r>
      <w:r w:rsidRPr="00FF4196">
        <w:rPr>
          <w:rFonts w:ascii="Times New Roman" w:eastAsia="Times New Roman" w:hAnsi="Times New Roman" w:cs="Times New Roman"/>
          <w:i/>
          <w:iCs/>
          <w:sz w:val="24"/>
          <w:szCs w:val="24"/>
          <w:lang w:val="en-US" w:eastAsia="pl-PL"/>
        </w:rPr>
        <w:t>Streptococcus mutans</w:t>
      </w:r>
      <w:r w:rsidRPr="00FF4196">
        <w:rPr>
          <w:rFonts w:ascii="Times New Roman" w:eastAsia="Times New Roman" w:hAnsi="Times New Roman" w:cs="Times New Roman"/>
          <w:sz w:val="24"/>
          <w:szCs w:val="24"/>
          <w:lang w:val="en-US" w:eastAsia="pl-PL"/>
        </w:rPr>
        <w:t xml:space="preserve"> and </w:t>
      </w:r>
      <w:r w:rsidRPr="00FF4196">
        <w:rPr>
          <w:rFonts w:ascii="Times New Roman" w:eastAsia="Times New Roman" w:hAnsi="Times New Roman" w:cs="Times New Roman"/>
          <w:i/>
          <w:iCs/>
          <w:sz w:val="24"/>
          <w:szCs w:val="24"/>
          <w:lang w:val="en-US" w:eastAsia="pl-PL"/>
        </w:rPr>
        <w:t xml:space="preserve">Porphyromonas gingivalis </w:t>
      </w:r>
      <w:r w:rsidRPr="00FF4196">
        <w:rPr>
          <w:rFonts w:ascii="Times New Roman" w:eastAsia="Times New Roman" w:hAnsi="Times New Roman" w:cs="Times New Roman"/>
          <w:sz w:val="24"/>
          <w:szCs w:val="24"/>
          <w:lang w:val="en-US" w:eastAsia="pl-PL"/>
        </w:rPr>
        <w:t>causing dental plaque and periodontal inflammatory diseases. Molecules. 2015;20(4):6128-39.</w:t>
      </w:r>
    </w:p>
    <w:p w14:paraId="3B388B4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lang w:val="en-US" w:eastAsia="pl-PL"/>
        </w:rPr>
        <w:t xml:space="preserve">Duverger E, Delmotte FM. Purification of lectins from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L. root-tips. </w:t>
      </w:r>
      <w:r w:rsidRPr="00E56A40">
        <w:rPr>
          <w:rFonts w:ascii="Times New Roman" w:eastAsia="Times New Roman" w:hAnsi="Times New Roman" w:cs="Times New Roman"/>
          <w:sz w:val="24"/>
          <w:szCs w:val="24"/>
          <w:lang w:eastAsia="pl-PL"/>
        </w:rPr>
        <w:t>Plant Science. 1997;123:9-18.</w:t>
      </w:r>
    </w:p>
    <w:p w14:paraId="0343B7A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57E83BA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7"/>
          <w:szCs w:val="27"/>
          <w:lang w:eastAsia="pl-PL"/>
        </w:rPr>
        <w:t>Salix purpurea</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6"/>
        <w:gridCol w:w="1902"/>
        <w:gridCol w:w="2329"/>
        <w:gridCol w:w="2061"/>
        <w:gridCol w:w="1588"/>
      </w:tblGrid>
      <w:tr w:rsidR="00E56A40" w:rsidRPr="00E56A40" w14:paraId="02680963"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03448CC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Source</w:t>
            </w:r>
          </w:p>
        </w:tc>
        <w:tc>
          <w:tcPr>
            <w:tcW w:w="2205" w:type="dxa"/>
            <w:tcBorders>
              <w:top w:val="outset" w:sz="6" w:space="0" w:color="auto"/>
              <w:left w:val="outset" w:sz="6" w:space="0" w:color="auto"/>
              <w:bottom w:val="outset" w:sz="6" w:space="0" w:color="auto"/>
              <w:right w:val="outset" w:sz="6" w:space="0" w:color="auto"/>
            </w:tcBorders>
            <w:hideMark/>
          </w:tcPr>
          <w:p w14:paraId="77D9470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Extraction methods/solvent</w:t>
            </w:r>
          </w:p>
        </w:tc>
        <w:tc>
          <w:tcPr>
            <w:tcW w:w="2805" w:type="dxa"/>
            <w:tcBorders>
              <w:top w:val="outset" w:sz="6" w:space="0" w:color="auto"/>
              <w:left w:val="outset" w:sz="6" w:space="0" w:color="auto"/>
              <w:bottom w:val="outset" w:sz="6" w:space="0" w:color="auto"/>
              <w:right w:val="outset" w:sz="6" w:space="0" w:color="auto"/>
            </w:tcBorders>
            <w:hideMark/>
          </w:tcPr>
          <w:p w14:paraId="6586626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Compound</w:t>
            </w:r>
          </w:p>
        </w:tc>
        <w:tc>
          <w:tcPr>
            <w:tcW w:w="2745" w:type="dxa"/>
            <w:tcBorders>
              <w:top w:val="outset" w:sz="6" w:space="0" w:color="auto"/>
              <w:left w:val="outset" w:sz="6" w:space="0" w:color="auto"/>
              <w:bottom w:val="outset" w:sz="6" w:space="0" w:color="auto"/>
              <w:right w:val="outset" w:sz="6" w:space="0" w:color="auto"/>
            </w:tcBorders>
            <w:hideMark/>
          </w:tcPr>
          <w:p w14:paraId="6F7A2D9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Biological activity</w:t>
            </w:r>
          </w:p>
        </w:tc>
        <w:tc>
          <w:tcPr>
            <w:tcW w:w="1905" w:type="dxa"/>
            <w:tcBorders>
              <w:top w:val="outset" w:sz="6" w:space="0" w:color="auto"/>
              <w:left w:val="outset" w:sz="6" w:space="0" w:color="auto"/>
              <w:bottom w:val="outset" w:sz="6" w:space="0" w:color="auto"/>
              <w:right w:val="outset" w:sz="6" w:space="0" w:color="auto"/>
            </w:tcBorders>
            <w:hideMark/>
          </w:tcPr>
          <w:p w14:paraId="3D33AC5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tc>
      </w:tr>
      <w:tr w:rsidR="00E56A40" w:rsidRPr="00E56A40" w14:paraId="2252F0D4"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6C3CC4C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bark</w:t>
            </w:r>
          </w:p>
        </w:tc>
        <w:tc>
          <w:tcPr>
            <w:tcW w:w="2205" w:type="dxa"/>
            <w:tcBorders>
              <w:top w:val="outset" w:sz="6" w:space="0" w:color="auto"/>
              <w:left w:val="outset" w:sz="6" w:space="0" w:color="auto"/>
              <w:bottom w:val="outset" w:sz="6" w:space="0" w:color="auto"/>
              <w:right w:val="outset" w:sz="6" w:space="0" w:color="auto"/>
            </w:tcBorders>
            <w:hideMark/>
          </w:tcPr>
          <w:p w14:paraId="7255C76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ethanolic extract</w:t>
            </w:r>
          </w:p>
        </w:tc>
        <w:tc>
          <w:tcPr>
            <w:tcW w:w="2805" w:type="dxa"/>
            <w:tcBorders>
              <w:top w:val="outset" w:sz="6" w:space="0" w:color="auto"/>
              <w:left w:val="outset" w:sz="6" w:space="0" w:color="auto"/>
              <w:bottom w:val="outset" w:sz="6" w:space="0" w:color="auto"/>
              <w:right w:val="outset" w:sz="6" w:space="0" w:color="auto"/>
            </w:tcBorders>
            <w:hideMark/>
          </w:tcPr>
          <w:p w14:paraId="5FCFCBB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flavan-3-ols, procyanidins</w:t>
            </w:r>
          </w:p>
        </w:tc>
        <w:tc>
          <w:tcPr>
            <w:tcW w:w="2745" w:type="dxa"/>
            <w:tcBorders>
              <w:top w:val="outset" w:sz="6" w:space="0" w:color="auto"/>
              <w:left w:val="outset" w:sz="6" w:space="0" w:color="auto"/>
              <w:bottom w:val="outset" w:sz="6" w:space="0" w:color="auto"/>
              <w:right w:val="outset" w:sz="6" w:space="0" w:color="auto"/>
            </w:tcBorders>
            <w:hideMark/>
          </w:tcPr>
          <w:p w14:paraId="41C69A0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905" w:type="dxa"/>
            <w:tcBorders>
              <w:top w:val="outset" w:sz="6" w:space="0" w:color="auto"/>
              <w:left w:val="outset" w:sz="6" w:space="0" w:color="auto"/>
              <w:bottom w:val="outset" w:sz="6" w:space="0" w:color="auto"/>
              <w:right w:val="outset" w:sz="6" w:space="0" w:color="auto"/>
            </w:tcBorders>
            <w:hideMark/>
          </w:tcPr>
          <w:p w14:paraId="7B0FA5A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Jürgenliemk et al. 2006</w:t>
            </w:r>
          </w:p>
        </w:tc>
      </w:tr>
      <w:tr w:rsidR="00E56A40" w:rsidRPr="00E56A40" w14:paraId="00F5217D"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62EDC3E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bark</w:t>
            </w:r>
          </w:p>
        </w:tc>
        <w:tc>
          <w:tcPr>
            <w:tcW w:w="2205" w:type="dxa"/>
            <w:tcBorders>
              <w:top w:val="outset" w:sz="6" w:space="0" w:color="auto"/>
              <w:left w:val="outset" w:sz="6" w:space="0" w:color="auto"/>
              <w:bottom w:val="outset" w:sz="6" w:space="0" w:color="auto"/>
              <w:right w:val="outset" w:sz="6" w:space="0" w:color="auto"/>
            </w:tcBorders>
            <w:hideMark/>
          </w:tcPr>
          <w:p w14:paraId="5681CC1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water extract</w:t>
            </w:r>
          </w:p>
        </w:tc>
        <w:tc>
          <w:tcPr>
            <w:tcW w:w="2805" w:type="dxa"/>
            <w:tcBorders>
              <w:top w:val="outset" w:sz="6" w:space="0" w:color="auto"/>
              <w:left w:val="outset" w:sz="6" w:space="0" w:color="auto"/>
              <w:bottom w:val="outset" w:sz="6" w:space="0" w:color="auto"/>
              <w:right w:val="outset" w:sz="6" w:space="0" w:color="auto"/>
            </w:tcBorders>
            <w:hideMark/>
          </w:tcPr>
          <w:p w14:paraId="4C8041C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phenolic</w:t>
            </w:r>
          </w:p>
        </w:tc>
        <w:tc>
          <w:tcPr>
            <w:tcW w:w="2745" w:type="dxa"/>
            <w:tcBorders>
              <w:top w:val="outset" w:sz="6" w:space="0" w:color="auto"/>
              <w:left w:val="outset" w:sz="6" w:space="0" w:color="auto"/>
              <w:bottom w:val="outset" w:sz="6" w:space="0" w:color="auto"/>
              <w:right w:val="outset" w:sz="6" w:space="0" w:color="auto"/>
            </w:tcBorders>
            <w:hideMark/>
          </w:tcPr>
          <w:p w14:paraId="6F68A04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antioxidative</w:t>
            </w:r>
          </w:p>
        </w:tc>
        <w:tc>
          <w:tcPr>
            <w:tcW w:w="1905" w:type="dxa"/>
            <w:tcBorders>
              <w:top w:val="outset" w:sz="6" w:space="0" w:color="auto"/>
              <w:left w:val="outset" w:sz="6" w:space="0" w:color="auto"/>
              <w:bottom w:val="outset" w:sz="6" w:space="0" w:color="auto"/>
              <w:right w:val="outset" w:sz="6" w:space="0" w:color="auto"/>
            </w:tcBorders>
            <w:hideMark/>
          </w:tcPr>
          <w:p w14:paraId="1BD9789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Durak &amp; Gawlik-Dziki, 2014; Durak et al. 2015</w:t>
            </w:r>
          </w:p>
        </w:tc>
      </w:tr>
      <w:tr w:rsidR="00E56A40" w:rsidRPr="00E56A40" w14:paraId="3B72DBC3"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571274F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bark</w:t>
            </w:r>
          </w:p>
        </w:tc>
        <w:tc>
          <w:tcPr>
            <w:tcW w:w="2205" w:type="dxa"/>
            <w:tcBorders>
              <w:top w:val="outset" w:sz="6" w:space="0" w:color="auto"/>
              <w:left w:val="outset" w:sz="6" w:space="0" w:color="auto"/>
              <w:bottom w:val="outset" w:sz="6" w:space="0" w:color="auto"/>
              <w:right w:val="outset" w:sz="6" w:space="0" w:color="auto"/>
            </w:tcBorders>
            <w:hideMark/>
          </w:tcPr>
          <w:p w14:paraId="7A1D857C"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n-hexane, ethyl acetate or n-</w:t>
            </w:r>
            <w:r w:rsidRPr="00FF4196">
              <w:rPr>
                <w:rFonts w:ascii="Times New Roman" w:eastAsia="Times New Roman" w:hAnsi="Times New Roman" w:cs="Times New Roman"/>
                <w:sz w:val="24"/>
                <w:szCs w:val="24"/>
                <w:lang w:val="en-US" w:eastAsia="pl-PL"/>
              </w:rPr>
              <w:lastRenderedPageBreak/>
              <w:t>butanol, ethanol extract from water extract</w:t>
            </w:r>
          </w:p>
        </w:tc>
        <w:tc>
          <w:tcPr>
            <w:tcW w:w="2805" w:type="dxa"/>
            <w:tcBorders>
              <w:top w:val="outset" w:sz="6" w:space="0" w:color="auto"/>
              <w:left w:val="outset" w:sz="6" w:space="0" w:color="auto"/>
              <w:bottom w:val="outset" w:sz="6" w:space="0" w:color="auto"/>
              <w:right w:val="outset" w:sz="6" w:space="0" w:color="auto"/>
            </w:tcBorders>
            <w:hideMark/>
          </w:tcPr>
          <w:p w14:paraId="5996F15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flavonoids, catechol</w:t>
            </w:r>
          </w:p>
        </w:tc>
        <w:tc>
          <w:tcPr>
            <w:tcW w:w="2745" w:type="dxa"/>
            <w:tcBorders>
              <w:top w:val="outset" w:sz="6" w:space="0" w:color="auto"/>
              <w:left w:val="outset" w:sz="6" w:space="0" w:color="auto"/>
              <w:bottom w:val="outset" w:sz="6" w:space="0" w:color="auto"/>
              <w:right w:val="outset" w:sz="6" w:space="0" w:color="auto"/>
            </w:tcBorders>
            <w:hideMark/>
          </w:tcPr>
          <w:p w14:paraId="0EB563DC"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inhibitory</w:t>
            </w:r>
          </w:p>
          <w:p w14:paraId="5FC4ACD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lastRenderedPageBreak/>
              <w:t>activity on TNF-</w:t>
            </w:r>
            <w:r w:rsidRPr="00E56A40">
              <w:rPr>
                <w:rFonts w:ascii="Times New Roman" w:eastAsia="Times New Roman" w:hAnsi="Times New Roman" w:cs="Times New Roman"/>
                <w:sz w:val="24"/>
                <w:szCs w:val="24"/>
                <w:lang w:eastAsia="pl-PL"/>
              </w:rPr>
              <w:t>α</w:t>
            </w:r>
            <w:r w:rsidRPr="00FF4196">
              <w:rPr>
                <w:rFonts w:ascii="Times New Roman" w:eastAsia="Times New Roman" w:hAnsi="Times New Roman" w:cs="Times New Roman"/>
                <w:sz w:val="24"/>
                <w:szCs w:val="24"/>
                <w:lang w:val="en-US" w:eastAsia="pl-PL"/>
              </w:rPr>
              <w:t xml:space="preserve"> induced ICAM-1 expression in human microvascular endothelial cells (HMEC-1)</w:t>
            </w:r>
          </w:p>
        </w:tc>
        <w:tc>
          <w:tcPr>
            <w:tcW w:w="1905" w:type="dxa"/>
            <w:tcBorders>
              <w:top w:val="outset" w:sz="6" w:space="0" w:color="auto"/>
              <w:left w:val="outset" w:sz="6" w:space="0" w:color="auto"/>
              <w:bottom w:val="outset" w:sz="6" w:space="0" w:color="auto"/>
              <w:right w:val="outset" w:sz="6" w:space="0" w:color="auto"/>
            </w:tcBorders>
            <w:hideMark/>
          </w:tcPr>
          <w:p w14:paraId="172682C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Freischmidt et al. 2012</w:t>
            </w:r>
          </w:p>
        </w:tc>
      </w:tr>
      <w:tr w:rsidR="00E56A40" w:rsidRPr="00E56A40" w14:paraId="26C83690"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4065A3C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bark</w:t>
            </w:r>
          </w:p>
        </w:tc>
        <w:tc>
          <w:tcPr>
            <w:tcW w:w="2205" w:type="dxa"/>
            <w:tcBorders>
              <w:top w:val="outset" w:sz="6" w:space="0" w:color="auto"/>
              <w:left w:val="outset" w:sz="6" w:space="0" w:color="auto"/>
              <w:bottom w:val="outset" w:sz="6" w:space="0" w:color="auto"/>
              <w:right w:val="outset" w:sz="6" w:space="0" w:color="auto"/>
            </w:tcBorders>
            <w:hideMark/>
          </w:tcPr>
          <w:p w14:paraId="1648DE4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ethanolic extract</w:t>
            </w:r>
          </w:p>
        </w:tc>
        <w:tc>
          <w:tcPr>
            <w:tcW w:w="2805" w:type="dxa"/>
            <w:tcBorders>
              <w:top w:val="outset" w:sz="6" w:space="0" w:color="auto"/>
              <w:left w:val="outset" w:sz="6" w:space="0" w:color="auto"/>
              <w:bottom w:val="outset" w:sz="6" w:space="0" w:color="auto"/>
              <w:right w:val="outset" w:sz="6" w:space="0" w:color="auto"/>
            </w:tcBorders>
            <w:hideMark/>
          </w:tcPr>
          <w:p w14:paraId="0483896F"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saligenin, salicylic acid, salicin, isosalicin, picein, salidroside,</w:t>
            </w:r>
          </w:p>
          <w:p w14:paraId="453C19AD"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triandrin, salicoylsalicin, salicortin, isosalipurposide, salipurposide, naringenin-7-</w:t>
            </w:r>
            <w:r w:rsidRPr="00FF4196">
              <w:rPr>
                <w:rFonts w:ascii="Times New Roman" w:eastAsia="Times New Roman" w:hAnsi="Times New Roman" w:cs="Times New Roman"/>
                <w:i/>
                <w:iCs/>
                <w:sz w:val="24"/>
                <w:szCs w:val="24"/>
                <w:lang w:val="en-US" w:eastAsia="pl-PL"/>
              </w:rPr>
              <w:t>O</w:t>
            </w:r>
            <w:r w:rsidRPr="00FF4196">
              <w:rPr>
                <w:rFonts w:ascii="Times New Roman" w:eastAsia="Times New Roman" w:hAnsi="Times New Roman" w:cs="Times New Roman"/>
                <w:sz w:val="24"/>
                <w:szCs w:val="24"/>
                <w:lang w:val="en-US" w:eastAsia="pl-PL"/>
              </w:rPr>
              <w:t>-glucoside, tremulacin</w:t>
            </w:r>
          </w:p>
        </w:tc>
        <w:tc>
          <w:tcPr>
            <w:tcW w:w="2745" w:type="dxa"/>
            <w:tcBorders>
              <w:top w:val="outset" w:sz="6" w:space="0" w:color="auto"/>
              <w:left w:val="outset" w:sz="6" w:space="0" w:color="auto"/>
              <w:bottom w:val="outset" w:sz="6" w:space="0" w:color="auto"/>
              <w:right w:val="outset" w:sz="6" w:space="0" w:color="auto"/>
            </w:tcBorders>
            <w:hideMark/>
          </w:tcPr>
          <w:p w14:paraId="2DB1DE1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905" w:type="dxa"/>
            <w:tcBorders>
              <w:top w:val="outset" w:sz="6" w:space="0" w:color="auto"/>
              <w:left w:val="outset" w:sz="6" w:space="0" w:color="auto"/>
              <w:bottom w:val="outset" w:sz="6" w:space="0" w:color="auto"/>
              <w:right w:val="outset" w:sz="6" w:space="0" w:color="auto"/>
            </w:tcBorders>
            <w:hideMark/>
          </w:tcPr>
          <w:p w14:paraId="1BA1BC7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Kammerer et al. 2005</w:t>
            </w:r>
          </w:p>
        </w:tc>
      </w:tr>
      <w:tr w:rsidR="00E56A40" w:rsidRPr="00E56A40" w14:paraId="780F27A4"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69E20C8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bark</w:t>
            </w:r>
          </w:p>
        </w:tc>
        <w:tc>
          <w:tcPr>
            <w:tcW w:w="2205" w:type="dxa"/>
            <w:tcBorders>
              <w:top w:val="outset" w:sz="6" w:space="0" w:color="auto"/>
              <w:left w:val="outset" w:sz="6" w:space="0" w:color="auto"/>
              <w:bottom w:val="outset" w:sz="6" w:space="0" w:color="auto"/>
              <w:right w:val="outset" w:sz="6" w:space="0" w:color="auto"/>
            </w:tcBorders>
            <w:hideMark/>
          </w:tcPr>
          <w:p w14:paraId="2007653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methanolic extract</w:t>
            </w:r>
          </w:p>
        </w:tc>
        <w:tc>
          <w:tcPr>
            <w:tcW w:w="2805" w:type="dxa"/>
            <w:tcBorders>
              <w:top w:val="outset" w:sz="6" w:space="0" w:color="auto"/>
              <w:left w:val="outset" w:sz="6" w:space="0" w:color="auto"/>
              <w:bottom w:val="outset" w:sz="6" w:space="0" w:color="auto"/>
              <w:right w:val="outset" w:sz="6" w:space="0" w:color="auto"/>
            </w:tcBorders>
            <w:hideMark/>
          </w:tcPr>
          <w:p w14:paraId="56C1F3F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procyanidin B1</w:t>
            </w:r>
          </w:p>
        </w:tc>
        <w:tc>
          <w:tcPr>
            <w:tcW w:w="2745" w:type="dxa"/>
            <w:tcBorders>
              <w:top w:val="outset" w:sz="6" w:space="0" w:color="auto"/>
              <w:left w:val="outset" w:sz="6" w:space="0" w:color="auto"/>
              <w:bottom w:val="outset" w:sz="6" w:space="0" w:color="auto"/>
              <w:right w:val="outset" w:sz="6" w:space="0" w:color="auto"/>
            </w:tcBorders>
            <w:hideMark/>
          </w:tcPr>
          <w:p w14:paraId="69B8816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905" w:type="dxa"/>
            <w:tcBorders>
              <w:top w:val="outset" w:sz="6" w:space="0" w:color="auto"/>
              <w:left w:val="outset" w:sz="6" w:space="0" w:color="auto"/>
              <w:bottom w:val="outset" w:sz="6" w:space="0" w:color="auto"/>
              <w:right w:val="outset" w:sz="6" w:space="0" w:color="auto"/>
            </w:tcBorders>
            <w:hideMark/>
          </w:tcPr>
          <w:p w14:paraId="6648206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Pobłocka-Olech &amp; Krauze-Baranowska, 2008</w:t>
            </w:r>
          </w:p>
        </w:tc>
      </w:tr>
      <w:tr w:rsidR="00E56A40" w:rsidRPr="00E56A40" w14:paraId="514ADF97"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7870A8D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bark</w:t>
            </w:r>
          </w:p>
        </w:tc>
        <w:tc>
          <w:tcPr>
            <w:tcW w:w="2205" w:type="dxa"/>
            <w:tcBorders>
              <w:top w:val="outset" w:sz="6" w:space="0" w:color="auto"/>
              <w:left w:val="outset" w:sz="6" w:space="0" w:color="auto"/>
              <w:bottom w:val="outset" w:sz="6" w:space="0" w:color="auto"/>
              <w:right w:val="outset" w:sz="6" w:space="0" w:color="auto"/>
            </w:tcBorders>
            <w:hideMark/>
          </w:tcPr>
          <w:p w14:paraId="1509966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ethanolic extract</w:t>
            </w:r>
          </w:p>
        </w:tc>
        <w:tc>
          <w:tcPr>
            <w:tcW w:w="2805" w:type="dxa"/>
            <w:tcBorders>
              <w:top w:val="outset" w:sz="6" w:space="0" w:color="auto"/>
              <w:left w:val="outset" w:sz="6" w:space="0" w:color="auto"/>
              <w:bottom w:val="outset" w:sz="6" w:space="0" w:color="auto"/>
              <w:right w:val="outset" w:sz="6" w:space="0" w:color="auto"/>
            </w:tcBorders>
            <w:hideMark/>
          </w:tcPr>
          <w:p w14:paraId="2BDA8DC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salicylalcohol derivates, flavonoids, proanthocyanidins</w:t>
            </w:r>
          </w:p>
        </w:tc>
        <w:tc>
          <w:tcPr>
            <w:tcW w:w="2745" w:type="dxa"/>
            <w:tcBorders>
              <w:top w:val="outset" w:sz="6" w:space="0" w:color="auto"/>
              <w:left w:val="outset" w:sz="6" w:space="0" w:color="auto"/>
              <w:bottom w:val="outset" w:sz="6" w:space="0" w:color="auto"/>
              <w:right w:val="outset" w:sz="6" w:space="0" w:color="auto"/>
            </w:tcBorders>
            <w:hideMark/>
          </w:tcPr>
          <w:p w14:paraId="7A7D1DBF"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inhibit the cell growth and promote apoptosis in human colon and lung cancer cell lines</w:t>
            </w:r>
          </w:p>
        </w:tc>
        <w:tc>
          <w:tcPr>
            <w:tcW w:w="1905" w:type="dxa"/>
            <w:tcBorders>
              <w:top w:val="outset" w:sz="6" w:space="0" w:color="auto"/>
              <w:left w:val="outset" w:sz="6" w:space="0" w:color="auto"/>
              <w:bottom w:val="outset" w:sz="6" w:space="0" w:color="auto"/>
              <w:right w:val="outset" w:sz="6" w:space="0" w:color="auto"/>
            </w:tcBorders>
            <w:hideMark/>
          </w:tcPr>
          <w:p w14:paraId="2CEB132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Hostanska et al. 2007</w:t>
            </w:r>
          </w:p>
        </w:tc>
      </w:tr>
      <w:tr w:rsidR="00E56A40" w:rsidRPr="00E56A40" w14:paraId="34D2AAF1"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4070799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bark</w:t>
            </w:r>
          </w:p>
        </w:tc>
        <w:tc>
          <w:tcPr>
            <w:tcW w:w="2205" w:type="dxa"/>
            <w:tcBorders>
              <w:top w:val="outset" w:sz="6" w:space="0" w:color="auto"/>
              <w:left w:val="outset" w:sz="6" w:space="0" w:color="auto"/>
              <w:bottom w:val="outset" w:sz="6" w:space="0" w:color="auto"/>
              <w:right w:val="outset" w:sz="6" w:space="0" w:color="auto"/>
            </w:tcBorders>
            <w:hideMark/>
          </w:tcPr>
          <w:p w14:paraId="35F4CE7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methanolic extract</w:t>
            </w:r>
          </w:p>
        </w:tc>
        <w:tc>
          <w:tcPr>
            <w:tcW w:w="2805" w:type="dxa"/>
            <w:tcBorders>
              <w:top w:val="outset" w:sz="6" w:space="0" w:color="auto"/>
              <w:left w:val="outset" w:sz="6" w:space="0" w:color="auto"/>
              <w:bottom w:val="outset" w:sz="6" w:space="0" w:color="auto"/>
              <w:right w:val="outset" w:sz="6" w:space="0" w:color="auto"/>
            </w:tcBorders>
            <w:hideMark/>
          </w:tcPr>
          <w:p w14:paraId="0BA0E7A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salicylic glycosides</w:t>
            </w:r>
          </w:p>
        </w:tc>
        <w:tc>
          <w:tcPr>
            <w:tcW w:w="2745" w:type="dxa"/>
            <w:tcBorders>
              <w:top w:val="outset" w:sz="6" w:space="0" w:color="auto"/>
              <w:left w:val="outset" w:sz="6" w:space="0" w:color="auto"/>
              <w:bottom w:val="outset" w:sz="6" w:space="0" w:color="auto"/>
              <w:right w:val="outset" w:sz="6" w:space="0" w:color="auto"/>
            </w:tcBorders>
            <w:hideMark/>
          </w:tcPr>
          <w:p w14:paraId="36E384E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905" w:type="dxa"/>
            <w:tcBorders>
              <w:top w:val="outset" w:sz="6" w:space="0" w:color="auto"/>
              <w:left w:val="outset" w:sz="6" w:space="0" w:color="auto"/>
              <w:bottom w:val="outset" w:sz="6" w:space="0" w:color="auto"/>
              <w:right w:val="outset" w:sz="6" w:space="0" w:color="auto"/>
            </w:tcBorders>
            <w:hideMark/>
          </w:tcPr>
          <w:p w14:paraId="516F45B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Sulima et al. 2017</w:t>
            </w:r>
          </w:p>
        </w:tc>
      </w:tr>
      <w:tr w:rsidR="00E56A40" w:rsidRPr="00E56A40" w14:paraId="7F5FDBA0"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10F4A62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w:t>
            </w:r>
          </w:p>
        </w:tc>
        <w:tc>
          <w:tcPr>
            <w:tcW w:w="2205" w:type="dxa"/>
            <w:tcBorders>
              <w:top w:val="outset" w:sz="6" w:space="0" w:color="auto"/>
              <w:left w:val="outset" w:sz="6" w:space="0" w:color="auto"/>
              <w:bottom w:val="outset" w:sz="6" w:space="0" w:color="auto"/>
              <w:right w:val="outset" w:sz="6" w:space="0" w:color="auto"/>
            </w:tcBorders>
            <w:hideMark/>
          </w:tcPr>
          <w:p w14:paraId="1496443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methanolic extract</w:t>
            </w:r>
          </w:p>
        </w:tc>
        <w:tc>
          <w:tcPr>
            <w:tcW w:w="2805" w:type="dxa"/>
            <w:tcBorders>
              <w:top w:val="outset" w:sz="6" w:space="0" w:color="auto"/>
              <w:left w:val="outset" w:sz="6" w:space="0" w:color="auto"/>
              <w:bottom w:val="outset" w:sz="6" w:space="0" w:color="auto"/>
              <w:right w:val="outset" w:sz="6" w:space="0" w:color="auto"/>
            </w:tcBorders>
            <w:hideMark/>
          </w:tcPr>
          <w:p w14:paraId="63C4A27D"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flavonoids, proanthocyanidins, salicylic alcohol derivatives</w:t>
            </w:r>
          </w:p>
        </w:tc>
        <w:tc>
          <w:tcPr>
            <w:tcW w:w="2745" w:type="dxa"/>
            <w:tcBorders>
              <w:top w:val="outset" w:sz="6" w:space="0" w:color="auto"/>
              <w:left w:val="outset" w:sz="6" w:space="0" w:color="auto"/>
              <w:bottom w:val="outset" w:sz="6" w:space="0" w:color="auto"/>
              <w:right w:val="outset" w:sz="6" w:space="0" w:color="auto"/>
            </w:tcBorders>
            <w:hideMark/>
          </w:tcPr>
          <w:p w14:paraId="099A767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905" w:type="dxa"/>
            <w:tcBorders>
              <w:top w:val="outset" w:sz="6" w:space="0" w:color="auto"/>
              <w:left w:val="outset" w:sz="6" w:space="0" w:color="auto"/>
              <w:bottom w:val="outset" w:sz="6" w:space="0" w:color="auto"/>
              <w:right w:val="outset" w:sz="6" w:space="0" w:color="auto"/>
            </w:tcBorders>
            <w:hideMark/>
          </w:tcPr>
          <w:p w14:paraId="05BEAF8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Wiesneth et al. 2017</w:t>
            </w:r>
          </w:p>
        </w:tc>
      </w:tr>
      <w:tr w:rsidR="00E56A40" w:rsidRPr="00E56A40" w14:paraId="561EE844"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1B797B5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bark</w:t>
            </w:r>
          </w:p>
        </w:tc>
        <w:tc>
          <w:tcPr>
            <w:tcW w:w="2205" w:type="dxa"/>
            <w:tcBorders>
              <w:top w:val="outset" w:sz="6" w:space="0" w:color="auto"/>
              <w:left w:val="outset" w:sz="6" w:space="0" w:color="auto"/>
              <w:bottom w:val="outset" w:sz="6" w:space="0" w:color="auto"/>
              <w:right w:val="outset" w:sz="6" w:space="0" w:color="auto"/>
            </w:tcBorders>
            <w:hideMark/>
          </w:tcPr>
          <w:p w14:paraId="1E7CA56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methanolic extract, PBS extract</w:t>
            </w:r>
          </w:p>
        </w:tc>
        <w:tc>
          <w:tcPr>
            <w:tcW w:w="2805" w:type="dxa"/>
            <w:tcBorders>
              <w:top w:val="outset" w:sz="6" w:space="0" w:color="auto"/>
              <w:left w:val="outset" w:sz="6" w:space="0" w:color="auto"/>
              <w:bottom w:val="outset" w:sz="6" w:space="0" w:color="auto"/>
              <w:right w:val="outset" w:sz="6" w:space="0" w:color="auto"/>
            </w:tcBorders>
            <w:hideMark/>
          </w:tcPr>
          <w:p w14:paraId="2EE10A4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745" w:type="dxa"/>
            <w:tcBorders>
              <w:top w:val="outset" w:sz="6" w:space="0" w:color="auto"/>
              <w:left w:val="outset" w:sz="6" w:space="0" w:color="auto"/>
              <w:bottom w:val="outset" w:sz="6" w:space="0" w:color="auto"/>
              <w:right w:val="outset" w:sz="6" w:space="0" w:color="auto"/>
            </w:tcBorders>
            <w:hideMark/>
          </w:tcPr>
          <w:p w14:paraId="0A53F45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antioxidative</w:t>
            </w:r>
          </w:p>
        </w:tc>
        <w:tc>
          <w:tcPr>
            <w:tcW w:w="1905" w:type="dxa"/>
            <w:tcBorders>
              <w:top w:val="outset" w:sz="6" w:space="0" w:color="auto"/>
              <w:left w:val="outset" w:sz="6" w:space="0" w:color="auto"/>
              <w:bottom w:val="outset" w:sz="6" w:space="0" w:color="auto"/>
              <w:right w:val="outset" w:sz="6" w:space="0" w:color="auto"/>
            </w:tcBorders>
            <w:hideMark/>
          </w:tcPr>
          <w:p w14:paraId="51D0E64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Gawlik-Dziki et al. 2014</w:t>
            </w:r>
          </w:p>
        </w:tc>
      </w:tr>
    </w:tbl>
    <w:p w14:paraId="7AC1549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 no data</w:t>
      </w:r>
    </w:p>
    <w:p w14:paraId="65D60CA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5FB1262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p w14:paraId="2A10C5A9"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Jürgenliemk G, Petereit F, Nahrstedt A. Flavan-3-ols and procyanidins from the bark of </w:t>
      </w:r>
      <w:r w:rsidRPr="00FF4196">
        <w:rPr>
          <w:rFonts w:ascii="Times New Roman" w:eastAsia="Times New Roman" w:hAnsi="Times New Roman" w:cs="Times New Roman"/>
          <w:i/>
          <w:iCs/>
          <w:sz w:val="24"/>
          <w:szCs w:val="24"/>
          <w:lang w:val="en-US" w:eastAsia="pl-PL"/>
        </w:rPr>
        <w:t>Salix purpurea</w:t>
      </w:r>
      <w:r w:rsidRPr="00FF4196">
        <w:rPr>
          <w:rFonts w:ascii="Times New Roman" w:eastAsia="Times New Roman" w:hAnsi="Times New Roman" w:cs="Times New Roman"/>
          <w:sz w:val="24"/>
          <w:szCs w:val="24"/>
          <w:lang w:val="en-US" w:eastAsia="pl-PL"/>
        </w:rPr>
        <w:t xml:space="preserve"> L. Pharmazie. 2007;62(3):231-4.</w:t>
      </w:r>
    </w:p>
    <w:p w14:paraId="607BC008"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Durak A, Gawlik-Dziki U. The Study of Interactions between Active Compounds of Coffee and Willow (</w:t>
      </w:r>
      <w:r w:rsidRPr="00FF4196">
        <w:rPr>
          <w:rFonts w:ascii="Times New Roman" w:eastAsia="Times New Roman" w:hAnsi="Times New Roman" w:cs="Times New Roman"/>
          <w:i/>
          <w:iCs/>
          <w:sz w:val="24"/>
          <w:szCs w:val="24"/>
          <w:lang w:val="en-US" w:eastAsia="pl-PL"/>
        </w:rPr>
        <w:t>Salix</w:t>
      </w:r>
      <w:r w:rsidRPr="00FF4196">
        <w:rPr>
          <w:rFonts w:ascii="Times New Roman" w:eastAsia="Times New Roman" w:hAnsi="Times New Roman" w:cs="Times New Roman"/>
          <w:sz w:val="24"/>
          <w:szCs w:val="24"/>
          <w:lang w:val="en-US" w:eastAsia="pl-PL"/>
        </w:rPr>
        <w:t xml:space="preserve"> sp.) Bark Water Extract. BioMed Research International. 2014; Article ID 38695: 1:11.</w:t>
      </w:r>
    </w:p>
    <w:p w14:paraId="0682D25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lastRenderedPageBreak/>
        <w:t>Durak A, Gawlik-Dziki U, Sugier D. Coffee enriched with willow (Salix purpurea and Salix myrsinifolia) bark preparation – Interactions of antioxidative phytochemicals in a model system. Journal of Functional Foods 2015;18:1106–1116.</w:t>
      </w:r>
    </w:p>
    <w:p w14:paraId="63CD235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Freischmidt A, Jürgenliemk G, Kraus B, Okpanyi SN, Müller J, Kelber O, Weiser D, Heilmann J. Contribution of flavonoids and catechol to the reduction of ICAM-1 expression in endothelial cells by a standardised Willow bark extract. Phytomedicine. 2012;19(3-4):245-52.</w:t>
      </w:r>
    </w:p>
    <w:p w14:paraId="4FD257A3"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Kammerer B, Kahlich R, Biegert C, Gleiter CH, Heide L. HPLC-MS/MS Analysis of Willow Bark Extracts Contained in Pharmaceutical Preparations. Phytochem Anal. 2005;16(6):470-8.</w:t>
      </w:r>
    </w:p>
    <w:p w14:paraId="5378F28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Pobłocka-Olech L, Krauze-Baranowska M. SPE-HPTLC of procyanidins from the barks of different species and clones of Salix. J Pharm Biomed Anal. 2008;48(3):965-8.</w:t>
      </w:r>
    </w:p>
    <w:p w14:paraId="61FD684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lang w:val="en-US" w:eastAsia="pl-PL"/>
        </w:rPr>
        <w:t xml:space="preserve">Hostanska K, Jürgenliemk G, Abel G, Nahrstedt A, Saller R. Willow bark extract (BNO1455) and its fractions suppress growth and induce apoptosis in human colon and lung cancer cells. </w:t>
      </w:r>
      <w:r w:rsidRPr="00E56A40">
        <w:rPr>
          <w:rFonts w:ascii="Times New Roman" w:eastAsia="Times New Roman" w:hAnsi="Times New Roman" w:cs="Times New Roman"/>
          <w:sz w:val="24"/>
          <w:szCs w:val="24"/>
          <w:lang w:eastAsia="pl-PL"/>
        </w:rPr>
        <w:t>Cancer Detect Prev. 2007;31(2):129-39.</w:t>
      </w:r>
    </w:p>
    <w:p w14:paraId="51975FD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E56A40">
        <w:rPr>
          <w:rFonts w:ascii="Times New Roman" w:eastAsia="Times New Roman" w:hAnsi="Times New Roman" w:cs="Times New Roman"/>
          <w:sz w:val="24"/>
          <w:szCs w:val="24"/>
          <w:lang w:eastAsia="pl-PL"/>
        </w:rPr>
        <w:t xml:space="preserve">Sulima P, Krauze-Baranowska M, Przyborowski JA. </w:t>
      </w:r>
      <w:r w:rsidRPr="00FF4196">
        <w:rPr>
          <w:rFonts w:ascii="Times New Roman" w:eastAsia="Times New Roman" w:hAnsi="Times New Roman" w:cs="Times New Roman"/>
          <w:sz w:val="24"/>
          <w:szCs w:val="24"/>
          <w:lang w:val="en-US" w:eastAsia="pl-PL"/>
        </w:rPr>
        <w:t>Variations in the chemical composition and content of salicylic glycosides in the bark of Salix purpurea from natural locations and their significance for breeding. Fitoterapia. 2017;118:118-125.</w:t>
      </w:r>
    </w:p>
    <w:p w14:paraId="3743827C"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Wiesneth S, Aas G, Heilmann J, Jürgenliemk G. Investigation of the flavan-3-ol patterns in willow species during one growing-season. Phytochemistry. 2018;145:26-39.</w:t>
      </w:r>
    </w:p>
    <w:p w14:paraId="33F1934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lang w:val="en-US" w:eastAsia="pl-PL"/>
        </w:rPr>
        <w:t xml:space="preserve">Gawlik-Dziki U, Sugier D, Dziki D, Sugier P. Bioaccessibility In Vitro of Nutraceuticals from Bark of Selected Salix Species. </w:t>
      </w:r>
      <w:r w:rsidRPr="00E56A40">
        <w:rPr>
          <w:rFonts w:ascii="Times New Roman" w:eastAsia="Times New Roman" w:hAnsi="Times New Roman" w:cs="Times New Roman"/>
          <w:sz w:val="24"/>
          <w:szCs w:val="24"/>
          <w:lang w:eastAsia="pl-PL"/>
        </w:rPr>
        <w:t>The Scientific World Journal. 2014, Article ID 782763, 1-10.</w:t>
      </w:r>
    </w:p>
    <w:p w14:paraId="55AD036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69679D9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7"/>
          <w:szCs w:val="27"/>
          <w:lang w:eastAsia="pl-PL"/>
        </w:rPr>
        <w:t>Salix viminalis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9"/>
        <w:gridCol w:w="1928"/>
        <w:gridCol w:w="2208"/>
        <w:gridCol w:w="2071"/>
        <w:gridCol w:w="1520"/>
      </w:tblGrid>
      <w:tr w:rsidR="00E56A40" w:rsidRPr="00E56A40" w14:paraId="4AEDFD69"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4715A5A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Source</w:t>
            </w:r>
          </w:p>
        </w:tc>
        <w:tc>
          <w:tcPr>
            <w:tcW w:w="2205" w:type="dxa"/>
            <w:tcBorders>
              <w:top w:val="outset" w:sz="6" w:space="0" w:color="auto"/>
              <w:left w:val="outset" w:sz="6" w:space="0" w:color="auto"/>
              <w:bottom w:val="outset" w:sz="6" w:space="0" w:color="auto"/>
              <w:right w:val="outset" w:sz="6" w:space="0" w:color="auto"/>
            </w:tcBorders>
            <w:hideMark/>
          </w:tcPr>
          <w:p w14:paraId="24803AC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Extraction methods/solvent</w:t>
            </w:r>
          </w:p>
        </w:tc>
        <w:tc>
          <w:tcPr>
            <w:tcW w:w="2805" w:type="dxa"/>
            <w:tcBorders>
              <w:top w:val="outset" w:sz="6" w:space="0" w:color="auto"/>
              <w:left w:val="outset" w:sz="6" w:space="0" w:color="auto"/>
              <w:bottom w:val="outset" w:sz="6" w:space="0" w:color="auto"/>
              <w:right w:val="outset" w:sz="6" w:space="0" w:color="auto"/>
            </w:tcBorders>
            <w:hideMark/>
          </w:tcPr>
          <w:p w14:paraId="665ABE1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Compound</w:t>
            </w:r>
          </w:p>
        </w:tc>
        <w:tc>
          <w:tcPr>
            <w:tcW w:w="2745" w:type="dxa"/>
            <w:tcBorders>
              <w:top w:val="outset" w:sz="6" w:space="0" w:color="auto"/>
              <w:left w:val="outset" w:sz="6" w:space="0" w:color="auto"/>
              <w:bottom w:val="outset" w:sz="6" w:space="0" w:color="auto"/>
              <w:right w:val="outset" w:sz="6" w:space="0" w:color="auto"/>
            </w:tcBorders>
            <w:hideMark/>
          </w:tcPr>
          <w:p w14:paraId="423BC9E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Biological activity</w:t>
            </w:r>
          </w:p>
        </w:tc>
        <w:tc>
          <w:tcPr>
            <w:tcW w:w="1905" w:type="dxa"/>
            <w:tcBorders>
              <w:top w:val="outset" w:sz="6" w:space="0" w:color="auto"/>
              <w:left w:val="outset" w:sz="6" w:space="0" w:color="auto"/>
              <w:bottom w:val="outset" w:sz="6" w:space="0" w:color="auto"/>
              <w:right w:val="outset" w:sz="6" w:space="0" w:color="auto"/>
            </w:tcBorders>
            <w:hideMark/>
          </w:tcPr>
          <w:p w14:paraId="0ABE8B2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tc>
      </w:tr>
      <w:tr w:rsidR="00E56A40" w:rsidRPr="00E56A40" w14:paraId="6C74140F"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271F8A9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w:t>
            </w:r>
          </w:p>
        </w:tc>
        <w:tc>
          <w:tcPr>
            <w:tcW w:w="2205" w:type="dxa"/>
            <w:tcBorders>
              <w:top w:val="outset" w:sz="6" w:space="0" w:color="auto"/>
              <w:left w:val="outset" w:sz="6" w:space="0" w:color="auto"/>
              <w:bottom w:val="outset" w:sz="6" w:space="0" w:color="auto"/>
              <w:right w:val="outset" w:sz="6" w:space="0" w:color="auto"/>
            </w:tcBorders>
            <w:hideMark/>
          </w:tcPr>
          <w:p w14:paraId="0014E72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ethanolic extract</w:t>
            </w:r>
          </w:p>
        </w:tc>
        <w:tc>
          <w:tcPr>
            <w:tcW w:w="2805" w:type="dxa"/>
            <w:tcBorders>
              <w:top w:val="outset" w:sz="6" w:space="0" w:color="auto"/>
              <w:left w:val="outset" w:sz="6" w:space="0" w:color="auto"/>
              <w:bottom w:val="outset" w:sz="6" w:space="0" w:color="auto"/>
              <w:right w:val="outset" w:sz="6" w:space="0" w:color="auto"/>
            </w:tcBorders>
            <w:hideMark/>
          </w:tcPr>
          <w:p w14:paraId="3CF569C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phenolcarbonic</w:t>
            </w:r>
          </w:p>
          <w:p w14:paraId="2DE825F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acids</w:t>
            </w:r>
          </w:p>
        </w:tc>
        <w:tc>
          <w:tcPr>
            <w:tcW w:w="2745" w:type="dxa"/>
            <w:tcBorders>
              <w:top w:val="outset" w:sz="6" w:space="0" w:color="auto"/>
              <w:left w:val="outset" w:sz="6" w:space="0" w:color="auto"/>
              <w:bottom w:val="outset" w:sz="6" w:space="0" w:color="auto"/>
              <w:right w:val="outset" w:sz="6" w:space="0" w:color="auto"/>
            </w:tcBorders>
            <w:hideMark/>
          </w:tcPr>
          <w:p w14:paraId="3E04D244"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reduced the negative effects of the antitumor drug; promoted recovery of the bone marrow, peripheral blood, and visceral</w:t>
            </w:r>
          </w:p>
          <w:p w14:paraId="5A033F4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parameters and prevented ulceration</w:t>
            </w:r>
          </w:p>
        </w:tc>
        <w:tc>
          <w:tcPr>
            <w:tcW w:w="1905" w:type="dxa"/>
            <w:tcBorders>
              <w:top w:val="outset" w:sz="6" w:space="0" w:color="auto"/>
              <w:left w:val="outset" w:sz="6" w:space="0" w:color="auto"/>
              <w:bottom w:val="outset" w:sz="6" w:space="0" w:color="auto"/>
              <w:right w:val="outset" w:sz="6" w:space="0" w:color="auto"/>
            </w:tcBorders>
            <w:hideMark/>
          </w:tcPr>
          <w:p w14:paraId="499ECEE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Aksinenko et al. 2015</w:t>
            </w:r>
          </w:p>
        </w:tc>
      </w:tr>
      <w:tr w:rsidR="00E56A40" w:rsidRPr="00E56A40" w14:paraId="1113D9D8"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3C3280B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thermal treatment of wood</w:t>
            </w:r>
          </w:p>
        </w:tc>
        <w:tc>
          <w:tcPr>
            <w:tcW w:w="2205" w:type="dxa"/>
            <w:tcBorders>
              <w:top w:val="outset" w:sz="6" w:space="0" w:color="auto"/>
              <w:left w:val="outset" w:sz="6" w:space="0" w:color="auto"/>
              <w:bottom w:val="outset" w:sz="6" w:space="0" w:color="auto"/>
              <w:right w:val="outset" w:sz="6" w:space="0" w:color="auto"/>
            </w:tcBorders>
            <w:hideMark/>
          </w:tcPr>
          <w:p w14:paraId="7881546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Scholze and Meier</w:t>
            </w:r>
          </w:p>
          <w:p w14:paraId="148F144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method</w:t>
            </w:r>
          </w:p>
        </w:tc>
        <w:tc>
          <w:tcPr>
            <w:tcW w:w="2805" w:type="dxa"/>
            <w:tcBorders>
              <w:top w:val="outset" w:sz="6" w:space="0" w:color="auto"/>
              <w:left w:val="outset" w:sz="6" w:space="0" w:color="auto"/>
              <w:bottom w:val="outset" w:sz="6" w:space="0" w:color="auto"/>
              <w:right w:val="outset" w:sz="6" w:space="0" w:color="auto"/>
            </w:tcBorders>
            <w:hideMark/>
          </w:tcPr>
          <w:p w14:paraId="50090E1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phenolic</w:t>
            </w:r>
          </w:p>
        </w:tc>
        <w:tc>
          <w:tcPr>
            <w:tcW w:w="2745" w:type="dxa"/>
            <w:tcBorders>
              <w:top w:val="outset" w:sz="6" w:space="0" w:color="auto"/>
              <w:left w:val="outset" w:sz="6" w:space="0" w:color="auto"/>
              <w:bottom w:val="outset" w:sz="6" w:space="0" w:color="auto"/>
              <w:right w:val="outset" w:sz="6" w:space="0" w:color="auto"/>
            </w:tcBorders>
            <w:hideMark/>
          </w:tcPr>
          <w:p w14:paraId="066EEB6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antioxidative</w:t>
            </w:r>
          </w:p>
          <w:p w14:paraId="68491D0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c>
        <w:tc>
          <w:tcPr>
            <w:tcW w:w="1905" w:type="dxa"/>
            <w:tcBorders>
              <w:top w:val="outset" w:sz="6" w:space="0" w:color="auto"/>
              <w:left w:val="outset" w:sz="6" w:space="0" w:color="auto"/>
              <w:bottom w:val="outset" w:sz="6" w:space="0" w:color="auto"/>
              <w:right w:val="outset" w:sz="6" w:space="0" w:color="auto"/>
            </w:tcBorders>
            <w:hideMark/>
          </w:tcPr>
          <w:p w14:paraId="57EBEDE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Ilnicka et al. 2014</w:t>
            </w:r>
          </w:p>
        </w:tc>
      </w:tr>
    </w:tbl>
    <w:p w14:paraId="4198FC2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 nd- no data</w:t>
      </w:r>
    </w:p>
    <w:p w14:paraId="250E1EF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29C799F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p w14:paraId="696977B5"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E56A40">
        <w:rPr>
          <w:rFonts w:ascii="Times New Roman" w:eastAsia="Times New Roman" w:hAnsi="Times New Roman" w:cs="Times New Roman"/>
          <w:sz w:val="24"/>
          <w:szCs w:val="24"/>
          <w:lang w:eastAsia="pl-PL"/>
        </w:rPr>
        <w:t xml:space="preserve"> Ilnicka A, Roszek K, Olejniczak A, Komoszynski M, Lukaszewicz JP. </w:t>
      </w:r>
      <w:r w:rsidRPr="00FF4196">
        <w:rPr>
          <w:rFonts w:ascii="Times New Roman" w:eastAsia="Times New Roman" w:hAnsi="Times New Roman" w:cs="Times New Roman"/>
          <w:sz w:val="24"/>
          <w:szCs w:val="24"/>
          <w:lang w:val="en-US" w:eastAsia="pl-PL"/>
        </w:rPr>
        <w:t>Biologically active constituents from Salix viminalis bio-oil and their protective activity against hydrogen peroxide-induced oxidative stress in Chinese hamster ovary cells. Appl Biochem Biotechnol. 2014;174(6):2153-61.</w:t>
      </w:r>
    </w:p>
    <w:p w14:paraId="0E224DB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lang w:val="en-US" w:eastAsia="pl-PL"/>
        </w:rPr>
        <w:t xml:space="preserve"> Aksinenko SG, Suslov NI, Povet'eva TN, Nesterova YV, Kharina TG, Kravtsova SS. Antitoxic Activity of Extract from Salix Viminalis Leaves under Conditions of 5-Fluorouracil Treatment. </w:t>
      </w:r>
      <w:r w:rsidRPr="00E56A40">
        <w:rPr>
          <w:rFonts w:ascii="Times New Roman" w:eastAsia="Times New Roman" w:hAnsi="Times New Roman" w:cs="Times New Roman"/>
          <w:sz w:val="24"/>
          <w:szCs w:val="24"/>
          <w:lang w:eastAsia="pl-PL"/>
        </w:rPr>
        <w:t>Bull Exp Biol Med. 2015;160(1):49-52.</w:t>
      </w:r>
    </w:p>
    <w:p w14:paraId="550B719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3310A19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7"/>
          <w:szCs w:val="27"/>
          <w:lang w:eastAsia="pl-PL"/>
        </w:rPr>
        <w:t>Populus nigra</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9"/>
        <w:gridCol w:w="1943"/>
        <w:gridCol w:w="2551"/>
        <w:gridCol w:w="2054"/>
        <w:gridCol w:w="1459"/>
      </w:tblGrid>
      <w:tr w:rsidR="00E56A40" w:rsidRPr="00E56A40" w14:paraId="4056CE4A"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2013F67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Source</w:t>
            </w:r>
          </w:p>
        </w:tc>
        <w:tc>
          <w:tcPr>
            <w:tcW w:w="2310" w:type="dxa"/>
            <w:tcBorders>
              <w:top w:val="outset" w:sz="6" w:space="0" w:color="auto"/>
              <w:left w:val="outset" w:sz="6" w:space="0" w:color="auto"/>
              <w:bottom w:val="outset" w:sz="6" w:space="0" w:color="auto"/>
              <w:right w:val="outset" w:sz="6" w:space="0" w:color="auto"/>
            </w:tcBorders>
            <w:hideMark/>
          </w:tcPr>
          <w:p w14:paraId="38E43B6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Extraction methods/solvent</w:t>
            </w:r>
          </w:p>
        </w:tc>
        <w:tc>
          <w:tcPr>
            <w:tcW w:w="2910" w:type="dxa"/>
            <w:tcBorders>
              <w:top w:val="outset" w:sz="6" w:space="0" w:color="auto"/>
              <w:left w:val="outset" w:sz="6" w:space="0" w:color="auto"/>
              <w:bottom w:val="outset" w:sz="6" w:space="0" w:color="auto"/>
              <w:right w:val="outset" w:sz="6" w:space="0" w:color="auto"/>
            </w:tcBorders>
            <w:hideMark/>
          </w:tcPr>
          <w:p w14:paraId="26C7D36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Compound</w:t>
            </w:r>
          </w:p>
        </w:tc>
        <w:tc>
          <w:tcPr>
            <w:tcW w:w="2685" w:type="dxa"/>
            <w:tcBorders>
              <w:top w:val="outset" w:sz="6" w:space="0" w:color="auto"/>
              <w:left w:val="outset" w:sz="6" w:space="0" w:color="auto"/>
              <w:bottom w:val="outset" w:sz="6" w:space="0" w:color="auto"/>
              <w:right w:val="outset" w:sz="6" w:space="0" w:color="auto"/>
            </w:tcBorders>
            <w:hideMark/>
          </w:tcPr>
          <w:p w14:paraId="5B051ED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Biological activity</w:t>
            </w:r>
          </w:p>
        </w:tc>
        <w:tc>
          <w:tcPr>
            <w:tcW w:w="1860" w:type="dxa"/>
            <w:tcBorders>
              <w:top w:val="outset" w:sz="6" w:space="0" w:color="auto"/>
              <w:left w:val="outset" w:sz="6" w:space="0" w:color="auto"/>
              <w:bottom w:val="outset" w:sz="6" w:space="0" w:color="auto"/>
              <w:right w:val="outset" w:sz="6" w:space="0" w:color="auto"/>
            </w:tcBorders>
            <w:hideMark/>
          </w:tcPr>
          <w:p w14:paraId="6E7CAF1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tc>
      </w:tr>
      <w:tr w:rsidR="00E56A40" w:rsidRPr="00E56A40" w14:paraId="46FC26D0"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5D34D64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whole tree</w:t>
            </w:r>
          </w:p>
        </w:tc>
        <w:tc>
          <w:tcPr>
            <w:tcW w:w="2310" w:type="dxa"/>
            <w:tcBorders>
              <w:top w:val="outset" w:sz="6" w:space="0" w:color="auto"/>
              <w:left w:val="outset" w:sz="6" w:space="0" w:color="auto"/>
              <w:bottom w:val="outset" w:sz="6" w:space="0" w:color="auto"/>
              <w:right w:val="outset" w:sz="6" w:space="0" w:color="auto"/>
            </w:tcBorders>
            <w:hideMark/>
          </w:tcPr>
          <w:p w14:paraId="4F0E5DF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ethanolic extract</w:t>
            </w:r>
          </w:p>
        </w:tc>
        <w:tc>
          <w:tcPr>
            <w:tcW w:w="2910" w:type="dxa"/>
            <w:tcBorders>
              <w:top w:val="outset" w:sz="6" w:space="0" w:color="auto"/>
              <w:left w:val="outset" w:sz="6" w:space="0" w:color="auto"/>
              <w:bottom w:val="outset" w:sz="6" w:space="0" w:color="auto"/>
              <w:right w:val="outset" w:sz="6" w:space="0" w:color="auto"/>
            </w:tcBorders>
            <w:hideMark/>
          </w:tcPr>
          <w:p w14:paraId="7538326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pinobanksin (I, 3,5,7-trihydroxyflavanone), 3,7-dimethylquercetin (II, 3',4',5-trihydroxy-3,7-dimethoxyflavone), pinocembrin (III, 5,7-dihydroxyflavanone)</w:t>
            </w:r>
          </w:p>
        </w:tc>
        <w:tc>
          <w:tcPr>
            <w:tcW w:w="2685" w:type="dxa"/>
            <w:tcBorders>
              <w:top w:val="outset" w:sz="6" w:space="0" w:color="auto"/>
              <w:left w:val="outset" w:sz="6" w:space="0" w:color="auto"/>
              <w:bottom w:val="outset" w:sz="6" w:space="0" w:color="auto"/>
              <w:right w:val="outset" w:sz="6" w:space="0" w:color="auto"/>
            </w:tcBorders>
            <w:hideMark/>
          </w:tcPr>
          <w:p w14:paraId="07F1CF65"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inhibitors of delta 4-3-ketosteroid (5 alpha) reductase</w:t>
            </w:r>
          </w:p>
        </w:tc>
        <w:tc>
          <w:tcPr>
            <w:tcW w:w="1860" w:type="dxa"/>
            <w:tcBorders>
              <w:top w:val="outset" w:sz="6" w:space="0" w:color="auto"/>
              <w:left w:val="outset" w:sz="6" w:space="0" w:color="auto"/>
              <w:bottom w:val="outset" w:sz="6" w:space="0" w:color="auto"/>
              <w:right w:val="outset" w:sz="6" w:space="0" w:color="auto"/>
            </w:tcBorders>
            <w:hideMark/>
          </w:tcPr>
          <w:p w14:paraId="62ADF77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Komoda 1989</w:t>
            </w:r>
          </w:p>
        </w:tc>
      </w:tr>
      <w:tr w:rsidR="00E56A40" w:rsidRPr="00E56A40" w14:paraId="6D17C927"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5269E07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w:t>
            </w:r>
          </w:p>
        </w:tc>
        <w:tc>
          <w:tcPr>
            <w:tcW w:w="2310" w:type="dxa"/>
            <w:tcBorders>
              <w:top w:val="outset" w:sz="6" w:space="0" w:color="auto"/>
              <w:left w:val="outset" w:sz="6" w:space="0" w:color="auto"/>
              <w:bottom w:val="outset" w:sz="6" w:space="0" w:color="auto"/>
              <w:right w:val="outset" w:sz="6" w:space="0" w:color="auto"/>
            </w:tcBorders>
            <w:hideMark/>
          </w:tcPr>
          <w:p w14:paraId="42D41196"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ether fraction of water-soluble extract</w:t>
            </w:r>
          </w:p>
        </w:tc>
        <w:tc>
          <w:tcPr>
            <w:tcW w:w="2910" w:type="dxa"/>
            <w:tcBorders>
              <w:top w:val="outset" w:sz="6" w:space="0" w:color="auto"/>
              <w:left w:val="outset" w:sz="6" w:space="0" w:color="auto"/>
              <w:bottom w:val="outset" w:sz="6" w:space="0" w:color="auto"/>
              <w:right w:val="outset" w:sz="6" w:space="0" w:color="auto"/>
            </w:tcBorders>
            <w:hideMark/>
          </w:tcPr>
          <w:p w14:paraId="5CB38CB8"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cinnamic and benzoic acids derivatives</w:t>
            </w:r>
          </w:p>
        </w:tc>
        <w:tc>
          <w:tcPr>
            <w:tcW w:w="2685" w:type="dxa"/>
            <w:tcBorders>
              <w:top w:val="outset" w:sz="6" w:space="0" w:color="auto"/>
              <w:left w:val="outset" w:sz="6" w:space="0" w:color="auto"/>
              <w:bottom w:val="outset" w:sz="6" w:space="0" w:color="auto"/>
              <w:right w:val="outset" w:sz="6" w:space="0" w:color="auto"/>
            </w:tcBorders>
            <w:hideMark/>
          </w:tcPr>
          <w:p w14:paraId="6F2A57E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increase of angiogenic activity</w:t>
            </w:r>
          </w:p>
        </w:tc>
        <w:tc>
          <w:tcPr>
            <w:tcW w:w="1860" w:type="dxa"/>
            <w:tcBorders>
              <w:top w:val="outset" w:sz="6" w:space="0" w:color="auto"/>
              <w:left w:val="outset" w:sz="6" w:space="0" w:color="auto"/>
              <w:bottom w:val="outset" w:sz="6" w:space="0" w:color="auto"/>
              <w:right w:val="outset" w:sz="6" w:space="0" w:color="auto"/>
            </w:tcBorders>
            <w:hideMark/>
          </w:tcPr>
          <w:p w14:paraId="467AB8F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Glinkowska et al. 1997</w:t>
            </w:r>
          </w:p>
        </w:tc>
      </w:tr>
      <w:tr w:rsidR="00E56A40" w:rsidRPr="00E56A40" w14:paraId="478C1B99"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448CD80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buds</w:t>
            </w:r>
          </w:p>
        </w:tc>
        <w:tc>
          <w:tcPr>
            <w:tcW w:w="2310" w:type="dxa"/>
            <w:tcBorders>
              <w:top w:val="outset" w:sz="6" w:space="0" w:color="auto"/>
              <w:left w:val="outset" w:sz="6" w:space="0" w:color="auto"/>
              <w:bottom w:val="outset" w:sz="6" w:space="0" w:color="auto"/>
              <w:right w:val="outset" w:sz="6" w:space="0" w:color="auto"/>
            </w:tcBorders>
            <w:hideMark/>
          </w:tcPr>
          <w:p w14:paraId="6A49405D"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methylene chloride-methanolic and ethanolic extracts</w:t>
            </w:r>
          </w:p>
        </w:tc>
        <w:tc>
          <w:tcPr>
            <w:tcW w:w="2910" w:type="dxa"/>
            <w:tcBorders>
              <w:top w:val="outset" w:sz="6" w:space="0" w:color="auto"/>
              <w:left w:val="outset" w:sz="6" w:space="0" w:color="auto"/>
              <w:bottom w:val="outset" w:sz="6" w:space="0" w:color="auto"/>
              <w:right w:val="outset" w:sz="6" w:space="0" w:color="auto"/>
            </w:tcBorders>
            <w:hideMark/>
          </w:tcPr>
          <w:p w14:paraId="1737213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polyphenols</w:t>
            </w:r>
          </w:p>
        </w:tc>
        <w:tc>
          <w:tcPr>
            <w:tcW w:w="2685" w:type="dxa"/>
            <w:tcBorders>
              <w:top w:val="outset" w:sz="6" w:space="0" w:color="auto"/>
              <w:left w:val="outset" w:sz="6" w:space="0" w:color="auto"/>
              <w:bottom w:val="outset" w:sz="6" w:space="0" w:color="auto"/>
              <w:right w:val="outset" w:sz="6" w:space="0" w:color="auto"/>
            </w:tcBorders>
            <w:hideMark/>
          </w:tcPr>
          <w:p w14:paraId="3902880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Inhibitors of xanthine oxidase</w:t>
            </w:r>
          </w:p>
        </w:tc>
        <w:tc>
          <w:tcPr>
            <w:tcW w:w="1860" w:type="dxa"/>
            <w:tcBorders>
              <w:top w:val="outset" w:sz="6" w:space="0" w:color="auto"/>
              <w:left w:val="outset" w:sz="6" w:space="0" w:color="auto"/>
              <w:bottom w:val="outset" w:sz="6" w:space="0" w:color="auto"/>
              <w:right w:val="outset" w:sz="6" w:space="0" w:color="auto"/>
            </w:tcBorders>
            <w:hideMark/>
          </w:tcPr>
          <w:p w14:paraId="312A870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Havlik et al. 2010</w:t>
            </w:r>
          </w:p>
        </w:tc>
      </w:tr>
      <w:tr w:rsidR="00E56A40" w:rsidRPr="00E56A40" w14:paraId="1309A18F"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650B8B8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buds</w:t>
            </w:r>
          </w:p>
        </w:tc>
        <w:tc>
          <w:tcPr>
            <w:tcW w:w="2310" w:type="dxa"/>
            <w:tcBorders>
              <w:top w:val="outset" w:sz="6" w:space="0" w:color="auto"/>
              <w:left w:val="outset" w:sz="6" w:space="0" w:color="auto"/>
              <w:bottom w:val="outset" w:sz="6" w:space="0" w:color="auto"/>
              <w:right w:val="outset" w:sz="6" w:space="0" w:color="auto"/>
            </w:tcBorders>
            <w:hideMark/>
          </w:tcPr>
          <w:p w14:paraId="06F5B1A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water extract</w:t>
            </w:r>
          </w:p>
        </w:tc>
        <w:tc>
          <w:tcPr>
            <w:tcW w:w="2910" w:type="dxa"/>
            <w:tcBorders>
              <w:top w:val="outset" w:sz="6" w:space="0" w:color="auto"/>
              <w:left w:val="outset" w:sz="6" w:space="0" w:color="auto"/>
              <w:bottom w:val="outset" w:sz="6" w:space="0" w:color="auto"/>
              <w:right w:val="outset" w:sz="6" w:space="0" w:color="auto"/>
            </w:tcBorders>
            <w:hideMark/>
          </w:tcPr>
          <w:p w14:paraId="1AAD6987"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phenolic acids and flavonoid aglycons</w:t>
            </w:r>
          </w:p>
        </w:tc>
        <w:tc>
          <w:tcPr>
            <w:tcW w:w="2685" w:type="dxa"/>
            <w:tcBorders>
              <w:top w:val="outset" w:sz="6" w:space="0" w:color="auto"/>
              <w:left w:val="outset" w:sz="6" w:space="0" w:color="auto"/>
              <w:bottom w:val="outset" w:sz="6" w:space="0" w:color="auto"/>
              <w:right w:val="outset" w:sz="6" w:space="0" w:color="auto"/>
            </w:tcBorders>
            <w:hideMark/>
          </w:tcPr>
          <w:p w14:paraId="09B61E5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antioxidant</w:t>
            </w:r>
          </w:p>
        </w:tc>
        <w:tc>
          <w:tcPr>
            <w:tcW w:w="1860" w:type="dxa"/>
            <w:tcBorders>
              <w:top w:val="outset" w:sz="6" w:space="0" w:color="auto"/>
              <w:left w:val="outset" w:sz="6" w:space="0" w:color="auto"/>
              <w:bottom w:val="outset" w:sz="6" w:space="0" w:color="auto"/>
              <w:right w:val="outset" w:sz="6" w:space="0" w:color="auto"/>
            </w:tcBorders>
            <w:hideMark/>
          </w:tcPr>
          <w:p w14:paraId="2AB5945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Dudonné et al. 2011</w:t>
            </w:r>
          </w:p>
        </w:tc>
      </w:tr>
      <w:tr w:rsidR="00E56A40" w:rsidRPr="00E56A40" w14:paraId="5157B072"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7387A26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twigs</w:t>
            </w:r>
          </w:p>
        </w:tc>
        <w:tc>
          <w:tcPr>
            <w:tcW w:w="2310" w:type="dxa"/>
            <w:tcBorders>
              <w:top w:val="outset" w:sz="6" w:space="0" w:color="auto"/>
              <w:left w:val="outset" w:sz="6" w:space="0" w:color="auto"/>
              <w:bottom w:val="outset" w:sz="6" w:space="0" w:color="auto"/>
              <w:right w:val="outset" w:sz="6" w:space="0" w:color="auto"/>
            </w:tcBorders>
            <w:hideMark/>
          </w:tcPr>
          <w:p w14:paraId="356DE66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ethyl acetate extract</w:t>
            </w:r>
          </w:p>
        </w:tc>
        <w:tc>
          <w:tcPr>
            <w:tcW w:w="2910" w:type="dxa"/>
            <w:tcBorders>
              <w:top w:val="outset" w:sz="6" w:space="0" w:color="auto"/>
              <w:left w:val="outset" w:sz="6" w:space="0" w:color="auto"/>
              <w:bottom w:val="outset" w:sz="6" w:space="0" w:color="auto"/>
              <w:right w:val="outset" w:sz="6" w:space="0" w:color="auto"/>
            </w:tcBorders>
            <w:hideMark/>
          </w:tcPr>
          <w:p w14:paraId="542D55BC"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5-hydroxy-7-methoxy-flavone, 5,7-dihydoxy-flavone and</w:t>
            </w:r>
          </w:p>
          <w:p w14:paraId="6A3EF65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5,7-dihydroxy-flavonol</w:t>
            </w:r>
          </w:p>
        </w:tc>
        <w:tc>
          <w:tcPr>
            <w:tcW w:w="2685" w:type="dxa"/>
            <w:tcBorders>
              <w:top w:val="outset" w:sz="6" w:space="0" w:color="auto"/>
              <w:left w:val="outset" w:sz="6" w:space="0" w:color="auto"/>
              <w:bottom w:val="outset" w:sz="6" w:space="0" w:color="auto"/>
              <w:right w:val="outset" w:sz="6" w:space="0" w:color="auto"/>
            </w:tcBorders>
            <w:hideMark/>
          </w:tcPr>
          <w:p w14:paraId="0C7D812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antifungal, antibacterial</w:t>
            </w:r>
          </w:p>
        </w:tc>
        <w:tc>
          <w:tcPr>
            <w:tcW w:w="1860" w:type="dxa"/>
            <w:tcBorders>
              <w:top w:val="outset" w:sz="6" w:space="0" w:color="auto"/>
              <w:left w:val="outset" w:sz="6" w:space="0" w:color="auto"/>
              <w:bottom w:val="outset" w:sz="6" w:space="0" w:color="auto"/>
              <w:right w:val="outset" w:sz="6" w:space="0" w:color="auto"/>
            </w:tcBorders>
            <w:hideMark/>
          </w:tcPr>
          <w:p w14:paraId="45CFD62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Zhong et al. 2012</w:t>
            </w:r>
          </w:p>
        </w:tc>
      </w:tr>
      <w:tr w:rsidR="00E56A40" w:rsidRPr="00E56A40" w14:paraId="6B1E1D46"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2C18DF2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buds</w:t>
            </w:r>
          </w:p>
        </w:tc>
        <w:tc>
          <w:tcPr>
            <w:tcW w:w="2310" w:type="dxa"/>
            <w:tcBorders>
              <w:top w:val="outset" w:sz="6" w:space="0" w:color="auto"/>
              <w:left w:val="outset" w:sz="6" w:space="0" w:color="auto"/>
              <w:bottom w:val="outset" w:sz="6" w:space="0" w:color="auto"/>
              <w:right w:val="outset" w:sz="6" w:space="0" w:color="auto"/>
            </w:tcBorders>
            <w:hideMark/>
          </w:tcPr>
          <w:p w14:paraId="5136B26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ethanolic extract</w:t>
            </w:r>
          </w:p>
        </w:tc>
        <w:tc>
          <w:tcPr>
            <w:tcW w:w="2910" w:type="dxa"/>
            <w:tcBorders>
              <w:top w:val="outset" w:sz="6" w:space="0" w:color="auto"/>
              <w:left w:val="outset" w:sz="6" w:space="0" w:color="auto"/>
              <w:bottom w:val="outset" w:sz="6" w:space="0" w:color="auto"/>
              <w:right w:val="outset" w:sz="6" w:space="0" w:color="auto"/>
            </w:tcBorders>
            <w:hideMark/>
          </w:tcPr>
          <w:p w14:paraId="3A676A0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685" w:type="dxa"/>
            <w:tcBorders>
              <w:top w:val="outset" w:sz="6" w:space="0" w:color="auto"/>
              <w:left w:val="outset" w:sz="6" w:space="0" w:color="auto"/>
              <w:bottom w:val="outset" w:sz="6" w:space="0" w:color="auto"/>
              <w:right w:val="outset" w:sz="6" w:space="0" w:color="auto"/>
            </w:tcBorders>
            <w:hideMark/>
          </w:tcPr>
          <w:p w14:paraId="2C5B0FA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antioxidant, anti-inflammatory, hepatoprotective and vasorelaxant</w:t>
            </w:r>
          </w:p>
        </w:tc>
        <w:tc>
          <w:tcPr>
            <w:tcW w:w="1860" w:type="dxa"/>
            <w:tcBorders>
              <w:top w:val="outset" w:sz="6" w:space="0" w:color="auto"/>
              <w:left w:val="outset" w:sz="6" w:space="0" w:color="auto"/>
              <w:bottom w:val="outset" w:sz="6" w:space="0" w:color="auto"/>
              <w:right w:val="outset" w:sz="6" w:space="0" w:color="auto"/>
            </w:tcBorders>
            <w:hideMark/>
          </w:tcPr>
          <w:p w14:paraId="3C74E26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Debbache-Benaida et al. 2013</w:t>
            </w:r>
          </w:p>
        </w:tc>
      </w:tr>
      <w:tr w:rsidR="00E56A40" w:rsidRPr="00E56A40" w14:paraId="715199A1"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7D55E56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wood</w:t>
            </w:r>
          </w:p>
        </w:tc>
        <w:tc>
          <w:tcPr>
            <w:tcW w:w="2310" w:type="dxa"/>
            <w:tcBorders>
              <w:top w:val="outset" w:sz="6" w:space="0" w:color="auto"/>
              <w:left w:val="outset" w:sz="6" w:space="0" w:color="auto"/>
              <w:bottom w:val="outset" w:sz="6" w:space="0" w:color="auto"/>
              <w:right w:val="outset" w:sz="6" w:space="0" w:color="auto"/>
            </w:tcBorders>
            <w:hideMark/>
          </w:tcPr>
          <w:p w14:paraId="634FDFD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ethanol/methanol extract, petroleum ether/acetic ether </w:t>
            </w:r>
            <w:r w:rsidRPr="00FF4196">
              <w:rPr>
                <w:rFonts w:ascii="Times New Roman" w:eastAsia="Times New Roman" w:hAnsi="Times New Roman" w:cs="Times New Roman"/>
                <w:sz w:val="24"/>
                <w:szCs w:val="24"/>
                <w:lang w:val="en-US" w:eastAsia="pl-PL"/>
              </w:rPr>
              <w:lastRenderedPageBreak/>
              <w:t>extract, benzene/alcohol extract</w:t>
            </w:r>
          </w:p>
        </w:tc>
        <w:tc>
          <w:tcPr>
            <w:tcW w:w="2910" w:type="dxa"/>
            <w:tcBorders>
              <w:top w:val="outset" w:sz="6" w:space="0" w:color="auto"/>
              <w:left w:val="outset" w:sz="6" w:space="0" w:color="auto"/>
              <w:bottom w:val="outset" w:sz="6" w:space="0" w:color="auto"/>
              <w:right w:val="outset" w:sz="6" w:space="0" w:color="auto"/>
            </w:tcBorders>
            <w:hideMark/>
          </w:tcPr>
          <w:p w14:paraId="0A4A1E95"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lastRenderedPageBreak/>
              <w:t xml:space="preserve">hexanedioic acid, bis(2-ethylhexyl) ester, phthalic acid derivatives, </w:t>
            </w:r>
            <w:r w:rsidRPr="00FF4196">
              <w:rPr>
                <w:rFonts w:ascii="Times New Roman" w:eastAsia="Times New Roman" w:hAnsi="Times New Roman" w:cs="Times New Roman"/>
                <w:sz w:val="24"/>
                <w:szCs w:val="24"/>
                <w:lang w:val="en-US" w:eastAsia="pl-PL"/>
              </w:rPr>
              <w:lastRenderedPageBreak/>
              <w:t>squalene, 3,3,7,11- tetramethyltricyclo [5.4.0.0(4,11)]undecan-1-ol</w:t>
            </w:r>
          </w:p>
        </w:tc>
        <w:tc>
          <w:tcPr>
            <w:tcW w:w="2685" w:type="dxa"/>
            <w:tcBorders>
              <w:top w:val="outset" w:sz="6" w:space="0" w:color="auto"/>
              <w:left w:val="outset" w:sz="6" w:space="0" w:color="auto"/>
              <w:bottom w:val="outset" w:sz="6" w:space="0" w:color="auto"/>
              <w:right w:val="outset" w:sz="6" w:space="0" w:color="auto"/>
            </w:tcBorders>
            <w:hideMark/>
          </w:tcPr>
          <w:p w14:paraId="588402C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nd</w:t>
            </w:r>
          </w:p>
        </w:tc>
        <w:tc>
          <w:tcPr>
            <w:tcW w:w="1860" w:type="dxa"/>
            <w:tcBorders>
              <w:top w:val="outset" w:sz="6" w:space="0" w:color="auto"/>
              <w:left w:val="outset" w:sz="6" w:space="0" w:color="auto"/>
              <w:bottom w:val="outset" w:sz="6" w:space="0" w:color="auto"/>
              <w:right w:val="outset" w:sz="6" w:space="0" w:color="auto"/>
            </w:tcBorders>
            <w:hideMark/>
          </w:tcPr>
          <w:p w14:paraId="5B6CA06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 et al. 2014</w:t>
            </w:r>
          </w:p>
        </w:tc>
      </w:tr>
      <w:tr w:rsidR="00E56A40" w:rsidRPr="00E56A40" w14:paraId="14E7AEE3"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627FA10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buds</w:t>
            </w:r>
          </w:p>
        </w:tc>
        <w:tc>
          <w:tcPr>
            <w:tcW w:w="2310" w:type="dxa"/>
            <w:tcBorders>
              <w:top w:val="outset" w:sz="6" w:space="0" w:color="auto"/>
              <w:left w:val="outset" w:sz="6" w:space="0" w:color="auto"/>
              <w:bottom w:val="outset" w:sz="6" w:space="0" w:color="auto"/>
              <w:right w:val="outset" w:sz="6" w:space="0" w:color="auto"/>
            </w:tcBorders>
            <w:hideMark/>
          </w:tcPr>
          <w:p w14:paraId="5550BCB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ethanolic extract</w:t>
            </w:r>
          </w:p>
        </w:tc>
        <w:tc>
          <w:tcPr>
            <w:tcW w:w="2910" w:type="dxa"/>
            <w:tcBorders>
              <w:top w:val="outset" w:sz="6" w:space="0" w:color="auto"/>
              <w:left w:val="outset" w:sz="6" w:space="0" w:color="auto"/>
              <w:bottom w:val="outset" w:sz="6" w:space="0" w:color="auto"/>
              <w:right w:val="outset" w:sz="6" w:space="0" w:color="auto"/>
            </w:tcBorders>
            <w:hideMark/>
          </w:tcPr>
          <w:p w14:paraId="156597E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polyphenols, flavones</w:t>
            </w:r>
          </w:p>
        </w:tc>
        <w:tc>
          <w:tcPr>
            <w:tcW w:w="2685" w:type="dxa"/>
            <w:tcBorders>
              <w:top w:val="outset" w:sz="6" w:space="0" w:color="auto"/>
              <w:left w:val="outset" w:sz="6" w:space="0" w:color="auto"/>
              <w:bottom w:val="outset" w:sz="6" w:space="0" w:color="auto"/>
              <w:right w:val="outset" w:sz="6" w:space="0" w:color="auto"/>
            </w:tcBorders>
            <w:hideMark/>
          </w:tcPr>
          <w:p w14:paraId="758101F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antioxidant</w:t>
            </w:r>
          </w:p>
          <w:p w14:paraId="7135F98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antibacterial</w:t>
            </w:r>
          </w:p>
        </w:tc>
        <w:tc>
          <w:tcPr>
            <w:tcW w:w="1860" w:type="dxa"/>
            <w:tcBorders>
              <w:top w:val="outset" w:sz="6" w:space="0" w:color="auto"/>
              <w:left w:val="outset" w:sz="6" w:space="0" w:color="auto"/>
              <w:bottom w:val="outset" w:sz="6" w:space="0" w:color="auto"/>
              <w:right w:val="outset" w:sz="6" w:space="0" w:color="auto"/>
            </w:tcBorders>
            <w:hideMark/>
          </w:tcPr>
          <w:p w14:paraId="3EB3DB0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Pasca et al. 2017</w:t>
            </w:r>
          </w:p>
        </w:tc>
      </w:tr>
      <w:tr w:rsidR="00E56A40" w:rsidRPr="00E56A40" w14:paraId="24C2A511"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172CE52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buds</w:t>
            </w:r>
          </w:p>
        </w:tc>
        <w:tc>
          <w:tcPr>
            <w:tcW w:w="2310" w:type="dxa"/>
            <w:tcBorders>
              <w:top w:val="outset" w:sz="6" w:space="0" w:color="auto"/>
              <w:left w:val="outset" w:sz="6" w:space="0" w:color="auto"/>
              <w:bottom w:val="outset" w:sz="6" w:space="0" w:color="auto"/>
              <w:right w:val="outset" w:sz="6" w:space="0" w:color="auto"/>
            </w:tcBorders>
            <w:hideMark/>
          </w:tcPr>
          <w:p w14:paraId="3060B75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supercritical CO</w:t>
            </w:r>
            <w:r w:rsidRPr="00E56A40">
              <w:rPr>
                <w:rFonts w:ascii="Times New Roman" w:eastAsia="Times New Roman" w:hAnsi="Times New Roman" w:cs="Times New Roman"/>
                <w:sz w:val="24"/>
                <w:szCs w:val="24"/>
                <w:vertAlign w:val="subscript"/>
                <w:lang w:eastAsia="pl-PL"/>
              </w:rPr>
              <w:t>2</w:t>
            </w:r>
          </w:p>
        </w:tc>
        <w:tc>
          <w:tcPr>
            <w:tcW w:w="2910" w:type="dxa"/>
            <w:tcBorders>
              <w:top w:val="outset" w:sz="6" w:space="0" w:color="auto"/>
              <w:left w:val="outset" w:sz="6" w:space="0" w:color="auto"/>
              <w:bottom w:val="outset" w:sz="6" w:space="0" w:color="auto"/>
              <w:right w:val="outset" w:sz="6" w:space="0" w:color="auto"/>
            </w:tcBorders>
            <w:hideMark/>
          </w:tcPr>
          <w:p w14:paraId="0966E6E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phenolics</w:t>
            </w:r>
          </w:p>
        </w:tc>
        <w:tc>
          <w:tcPr>
            <w:tcW w:w="2685" w:type="dxa"/>
            <w:tcBorders>
              <w:top w:val="outset" w:sz="6" w:space="0" w:color="auto"/>
              <w:left w:val="outset" w:sz="6" w:space="0" w:color="auto"/>
              <w:bottom w:val="outset" w:sz="6" w:space="0" w:color="auto"/>
              <w:right w:val="outset" w:sz="6" w:space="0" w:color="auto"/>
            </w:tcBorders>
            <w:hideMark/>
          </w:tcPr>
          <w:p w14:paraId="4BB4819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antioxidant</w:t>
            </w:r>
          </w:p>
        </w:tc>
        <w:tc>
          <w:tcPr>
            <w:tcW w:w="1860" w:type="dxa"/>
            <w:tcBorders>
              <w:top w:val="outset" w:sz="6" w:space="0" w:color="auto"/>
              <w:left w:val="outset" w:sz="6" w:space="0" w:color="auto"/>
              <w:bottom w:val="outset" w:sz="6" w:space="0" w:color="auto"/>
              <w:right w:val="outset" w:sz="6" w:space="0" w:color="auto"/>
            </w:tcBorders>
            <w:hideMark/>
          </w:tcPr>
          <w:p w14:paraId="66DC194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Kuś et al. 2018</w:t>
            </w:r>
          </w:p>
        </w:tc>
      </w:tr>
      <w:tr w:rsidR="00E56A40" w:rsidRPr="00E56A40" w14:paraId="6611A00F"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5A4342B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buds</w:t>
            </w:r>
          </w:p>
        </w:tc>
        <w:tc>
          <w:tcPr>
            <w:tcW w:w="2310" w:type="dxa"/>
            <w:tcBorders>
              <w:top w:val="outset" w:sz="6" w:space="0" w:color="auto"/>
              <w:left w:val="outset" w:sz="6" w:space="0" w:color="auto"/>
              <w:bottom w:val="outset" w:sz="6" w:space="0" w:color="auto"/>
              <w:right w:val="outset" w:sz="6" w:space="0" w:color="auto"/>
            </w:tcBorders>
            <w:hideMark/>
          </w:tcPr>
          <w:p w14:paraId="6163092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acetone extract</w:t>
            </w:r>
          </w:p>
        </w:tc>
        <w:tc>
          <w:tcPr>
            <w:tcW w:w="2910" w:type="dxa"/>
            <w:tcBorders>
              <w:top w:val="outset" w:sz="6" w:space="0" w:color="auto"/>
              <w:left w:val="outset" w:sz="6" w:space="0" w:color="auto"/>
              <w:bottom w:val="outset" w:sz="6" w:space="0" w:color="auto"/>
              <w:right w:val="outset" w:sz="6" w:space="0" w:color="auto"/>
            </w:tcBorders>
            <w:hideMark/>
          </w:tcPr>
          <w:p w14:paraId="2F63BAA5"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phenolic glycosides (salicin, populin), volatile oil, tannins, resins, gallic acid, saponins, flavonoids (chrysin and tectochrysin)</w:t>
            </w:r>
          </w:p>
        </w:tc>
        <w:tc>
          <w:tcPr>
            <w:tcW w:w="2685" w:type="dxa"/>
            <w:tcBorders>
              <w:top w:val="outset" w:sz="6" w:space="0" w:color="auto"/>
              <w:left w:val="outset" w:sz="6" w:space="0" w:color="auto"/>
              <w:bottom w:val="outset" w:sz="6" w:space="0" w:color="auto"/>
              <w:right w:val="outset" w:sz="6" w:space="0" w:color="auto"/>
            </w:tcBorders>
            <w:hideMark/>
          </w:tcPr>
          <w:p w14:paraId="1FFC27B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antioxidant and anti-inflammatory potential</w:t>
            </w:r>
          </w:p>
        </w:tc>
        <w:tc>
          <w:tcPr>
            <w:tcW w:w="1860" w:type="dxa"/>
            <w:tcBorders>
              <w:top w:val="outset" w:sz="6" w:space="0" w:color="auto"/>
              <w:left w:val="outset" w:sz="6" w:space="0" w:color="auto"/>
              <w:bottom w:val="outset" w:sz="6" w:space="0" w:color="auto"/>
              <w:right w:val="outset" w:sz="6" w:space="0" w:color="auto"/>
            </w:tcBorders>
            <w:hideMark/>
          </w:tcPr>
          <w:p w14:paraId="278CF7F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Radulea et al. 2018</w:t>
            </w:r>
          </w:p>
        </w:tc>
      </w:tr>
      <w:tr w:rsidR="00E56A40" w:rsidRPr="00E56A40" w14:paraId="1F797DD2"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4D365DC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leaf-buds</w:t>
            </w:r>
          </w:p>
        </w:tc>
        <w:tc>
          <w:tcPr>
            <w:tcW w:w="2310" w:type="dxa"/>
            <w:tcBorders>
              <w:top w:val="outset" w:sz="6" w:space="0" w:color="auto"/>
              <w:left w:val="outset" w:sz="6" w:space="0" w:color="auto"/>
              <w:bottom w:val="outset" w:sz="6" w:space="0" w:color="auto"/>
              <w:right w:val="outset" w:sz="6" w:space="0" w:color="auto"/>
            </w:tcBorders>
            <w:hideMark/>
          </w:tcPr>
          <w:p w14:paraId="39B87E9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methanolic extract</w:t>
            </w:r>
          </w:p>
        </w:tc>
        <w:tc>
          <w:tcPr>
            <w:tcW w:w="2910" w:type="dxa"/>
            <w:tcBorders>
              <w:top w:val="outset" w:sz="6" w:space="0" w:color="auto"/>
              <w:left w:val="outset" w:sz="6" w:space="0" w:color="auto"/>
              <w:bottom w:val="outset" w:sz="6" w:space="0" w:color="auto"/>
              <w:right w:val="outset" w:sz="6" w:space="0" w:color="auto"/>
            </w:tcBorders>
            <w:hideMark/>
          </w:tcPr>
          <w:p w14:paraId="75DC9AB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flavanones and phenolic acids</w:t>
            </w:r>
          </w:p>
        </w:tc>
        <w:tc>
          <w:tcPr>
            <w:tcW w:w="2685" w:type="dxa"/>
            <w:tcBorders>
              <w:top w:val="outset" w:sz="6" w:space="0" w:color="auto"/>
              <w:left w:val="outset" w:sz="6" w:space="0" w:color="auto"/>
              <w:bottom w:val="outset" w:sz="6" w:space="0" w:color="auto"/>
              <w:right w:val="outset" w:sz="6" w:space="0" w:color="auto"/>
            </w:tcBorders>
            <w:hideMark/>
          </w:tcPr>
          <w:p w14:paraId="2B28BCC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antioxidant and anti-inflammatory activity</w:t>
            </w:r>
          </w:p>
        </w:tc>
        <w:tc>
          <w:tcPr>
            <w:tcW w:w="1860" w:type="dxa"/>
            <w:tcBorders>
              <w:top w:val="outset" w:sz="6" w:space="0" w:color="auto"/>
              <w:left w:val="outset" w:sz="6" w:space="0" w:color="auto"/>
              <w:bottom w:val="outset" w:sz="6" w:space="0" w:color="auto"/>
              <w:right w:val="outset" w:sz="6" w:space="0" w:color="auto"/>
            </w:tcBorders>
            <w:hideMark/>
          </w:tcPr>
          <w:p w14:paraId="54DF8EE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Pobłocka-Olech et al. 2018</w:t>
            </w:r>
          </w:p>
        </w:tc>
      </w:tr>
      <w:tr w:rsidR="00E56A40" w:rsidRPr="00E56A40" w14:paraId="1105D74C"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12DCB59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buds</w:t>
            </w:r>
          </w:p>
        </w:tc>
        <w:tc>
          <w:tcPr>
            <w:tcW w:w="2310" w:type="dxa"/>
            <w:tcBorders>
              <w:top w:val="outset" w:sz="6" w:space="0" w:color="auto"/>
              <w:left w:val="outset" w:sz="6" w:space="0" w:color="auto"/>
              <w:bottom w:val="outset" w:sz="6" w:space="0" w:color="auto"/>
              <w:right w:val="outset" w:sz="6" w:space="0" w:color="auto"/>
            </w:tcBorders>
            <w:hideMark/>
          </w:tcPr>
          <w:p w14:paraId="382EFC3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supercritical CO2</w:t>
            </w:r>
          </w:p>
        </w:tc>
        <w:tc>
          <w:tcPr>
            <w:tcW w:w="2910" w:type="dxa"/>
            <w:tcBorders>
              <w:top w:val="outset" w:sz="6" w:space="0" w:color="auto"/>
              <w:left w:val="outset" w:sz="6" w:space="0" w:color="auto"/>
              <w:bottom w:val="outset" w:sz="6" w:space="0" w:color="auto"/>
              <w:right w:val="outset" w:sz="6" w:space="0" w:color="auto"/>
            </w:tcBorders>
            <w:hideMark/>
          </w:tcPr>
          <w:p w14:paraId="7D8F3AD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pinostrobin chalcone, β-eudesmol, α-eudesmol, 2-methyl-2-butenyl-p-coumarate, pentyl-p-coumarate, γ-eudesmol, benzyl salicylate</w:t>
            </w:r>
          </w:p>
        </w:tc>
        <w:tc>
          <w:tcPr>
            <w:tcW w:w="2685" w:type="dxa"/>
            <w:tcBorders>
              <w:top w:val="outset" w:sz="6" w:space="0" w:color="auto"/>
              <w:left w:val="outset" w:sz="6" w:space="0" w:color="auto"/>
              <w:bottom w:val="outset" w:sz="6" w:space="0" w:color="auto"/>
              <w:right w:val="outset" w:sz="6" w:space="0" w:color="auto"/>
            </w:tcBorders>
            <w:hideMark/>
          </w:tcPr>
          <w:p w14:paraId="7AD27C3D"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precursors of poplar-type propolis</w:t>
            </w:r>
          </w:p>
        </w:tc>
        <w:tc>
          <w:tcPr>
            <w:tcW w:w="1860" w:type="dxa"/>
            <w:tcBorders>
              <w:top w:val="outset" w:sz="6" w:space="0" w:color="auto"/>
              <w:left w:val="outset" w:sz="6" w:space="0" w:color="auto"/>
              <w:bottom w:val="outset" w:sz="6" w:space="0" w:color="auto"/>
              <w:right w:val="outset" w:sz="6" w:space="0" w:color="auto"/>
            </w:tcBorders>
            <w:hideMark/>
          </w:tcPr>
          <w:p w14:paraId="77F51A7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Kuś et al. 2018</w:t>
            </w:r>
          </w:p>
        </w:tc>
      </w:tr>
    </w:tbl>
    <w:p w14:paraId="282146C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nd- no data</w:t>
      </w:r>
    </w:p>
    <w:p w14:paraId="1FA4A3F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0A3347F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p w14:paraId="6C5CDDF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Komoda Y.  Isolation of flavonoids from Populus nigra as delta 4-3-ketosteroid (5 alpha) reductase inhibitors. Chem Pharm Bull (Tokyo). 1989;37(11):3128-30.</w:t>
      </w:r>
    </w:p>
    <w:p w14:paraId="41BD3E8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Glinkowska G, Bałan B, Sommer E, Demkow U, Sokolnicka I, Strzelecka H, Skopińska-Rózewska E. The effect of phenolic compounds of poplar leaves extract on cutaneous angiogenesis reaction induced in mice by human mononuclear leukocytes. Acta Pol Pharm. 1997;54(2):151-4.</w:t>
      </w:r>
    </w:p>
    <w:p w14:paraId="14139DA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Havlik J, Gonzalez de la Huebra R, Hejtmankova K, Fernandez J, Simonova J, Melich M, Rada V. Xanthine oxidase inhibitory properties of Czech medicinal plants. J Ethnopharmacol. 2010;132(2):461-5.</w:t>
      </w:r>
    </w:p>
    <w:p w14:paraId="4F92D6E5"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Dudonné S, Poupard P, Coutière P, Woillez M, Richard T, Mérillon JM, Vitrac X. Phenolic composition and antioxidant properties of poplar bud (Populus nigra) extract: individual antioxidant contribution of phenolics and transcriptional effect on skin aging. J Agric Food Chem. 2011;59(9):4527-36.</w:t>
      </w:r>
    </w:p>
    <w:p w14:paraId="4F4AEBE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Zhong L, Zhou L, Zhou Y, Chen Y, Sui P, Wang J, Wang M. Antimicrobial flavonoids from the twigs of Populus nigra x Populus deltoides. Nat Prod Res. 2012;26(4):307-13.</w:t>
      </w:r>
    </w:p>
    <w:p w14:paraId="0847E4A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lastRenderedPageBreak/>
        <w:t>Debbache-Benaida N, Atmani-Kilani D, Schini-Keirth VB, Djebbli N, Atmani D. Pharmacological potential of Populus nigra extract as antioxidant, anti-inflammatory, cardiovascular and hepatoprotective agent. Asian Pac J Trop Biomed. 2013;3(9):697-704.</w:t>
      </w:r>
    </w:p>
    <w:p w14:paraId="491C240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Li D, Peng W, Ge S, Mo B, Zhang Z, Qin D. Analysis on active molecules in Populus nigra wood extractives by GC-MS. Pak J Pharm Sci. 2014;27(6 Suppl):2061-5.</w:t>
      </w:r>
    </w:p>
    <w:p w14:paraId="579DF076"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Pașca C, Mărghitaș L, Dezmirean D, Bobiș O, Bonta V, Chirilă F, Matei I, Fiț N. Medicinal Plants Based Products Tested on Pathogens Isolated from Mastitis Milk. Molecules. 2017;22(9).</w:t>
      </w:r>
    </w:p>
    <w:p w14:paraId="611EBE4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Kuś P, Jerković I, Jakovljević M, Jokić S. Extraction of bioactive phenolics from black poplar (Populus nigra L.) buds by supercritical CO2 and its optimization by response surface methodology. J Pharm Biomed Anal. 2018;152:128-136.</w:t>
      </w:r>
    </w:p>
    <w:p w14:paraId="73757FD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Radulea N, Grigore A, Ionita C, Goanta AM, Ignatescu RM, Mihai A, Ionita L. Anti-inflammatory and antioxidant potential of Populus nigra L. buds extract. Journal of Biotechnology, 2018, 280, Supp.30, S67.</w:t>
      </w:r>
    </w:p>
    <w:p w14:paraId="7DB6CFE5"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Pobłocka-Olech L, Inkielewicz-Stepniak I, Krauze-Baranowska M. Anti-inflammatory and antioxidative effects of the buds from different species of Populus in human gingival fibroblast cells: role of  bioflavanones. Phytomedicine, 2018, https://doi.org/10.1016/j.phymed.2018.08.015.</w:t>
      </w:r>
    </w:p>
    <w:p w14:paraId="69526E3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lang w:val="en-US" w:eastAsia="pl-PL"/>
        </w:rPr>
        <w:t xml:space="preserve">Kuś PM, Okińczyc P, Jakovljević M, Jokić S, Jerković I. Development of supercritical CO2 extraction of bioactive phytochemicals from black poplar (Populus nigra L.) buds followed by GC–MS and UHPLC-DAD-QqTOF-MS. </w:t>
      </w:r>
      <w:r w:rsidRPr="00E56A40">
        <w:rPr>
          <w:rFonts w:ascii="Times New Roman" w:eastAsia="Times New Roman" w:hAnsi="Times New Roman" w:cs="Times New Roman"/>
          <w:sz w:val="24"/>
          <w:szCs w:val="24"/>
          <w:lang w:eastAsia="pl-PL"/>
        </w:rPr>
        <w:t>J Pharmaceutical Biomed Anal, 2018, 158: 15-27.</w:t>
      </w:r>
    </w:p>
    <w:p w14:paraId="1A5B0EB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3250816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7"/>
          <w:szCs w:val="27"/>
          <w:lang w:eastAsia="pl-PL"/>
        </w:rPr>
        <w:t>Miscanthus x giganteus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67"/>
        <w:gridCol w:w="1895"/>
        <w:gridCol w:w="2419"/>
        <w:gridCol w:w="2149"/>
        <w:gridCol w:w="1426"/>
      </w:tblGrid>
      <w:tr w:rsidR="00E56A40" w:rsidRPr="00E56A40" w14:paraId="2C6838B6"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5581677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Source</w:t>
            </w:r>
          </w:p>
        </w:tc>
        <w:tc>
          <w:tcPr>
            <w:tcW w:w="2205" w:type="dxa"/>
            <w:tcBorders>
              <w:top w:val="outset" w:sz="6" w:space="0" w:color="auto"/>
              <w:left w:val="outset" w:sz="6" w:space="0" w:color="auto"/>
              <w:bottom w:val="outset" w:sz="6" w:space="0" w:color="auto"/>
              <w:right w:val="outset" w:sz="6" w:space="0" w:color="auto"/>
            </w:tcBorders>
            <w:hideMark/>
          </w:tcPr>
          <w:p w14:paraId="606A532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Extraction methods/solvent</w:t>
            </w:r>
          </w:p>
        </w:tc>
        <w:tc>
          <w:tcPr>
            <w:tcW w:w="2805" w:type="dxa"/>
            <w:tcBorders>
              <w:top w:val="outset" w:sz="6" w:space="0" w:color="auto"/>
              <w:left w:val="outset" w:sz="6" w:space="0" w:color="auto"/>
              <w:bottom w:val="outset" w:sz="6" w:space="0" w:color="auto"/>
              <w:right w:val="outset" w:sz="6" w:space="0" w:color="auto"/>
            </w:tcBorders>
            <w:hideMark/>
          </w:tcPr>
          <w:p w14:paraId="6A042D9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Compound</w:t>
            </w:r>
          </w:p>
        </w:tc>
        <w:tc>
          <w:tcPr>
            <w:tcW w:w="2745" w:type="dxa"/>
            <w:tcBorders>
              <w:top w:val="outset" w:sz="6" w:space="0" w:color="auto"/>
              <w:left w:val="outset" w:sz="6" w:space="0" w:color="auto"/>
              <w:bottom w:val="outset" w:sz="6" w:space="0" w:color="auto"/>
              <w:right w:val="outset" w:sz="6" w:space="0" w:color="auto"/>
            </w:tcBorders>
            <w:hideMark/>
          </w:tcPr>
          <w:p w14:paraId="3D551B4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Biological activity</w:t>
            </w:r>
          </w:p>
        </w:tc>
        <w:tc>
          <w:tcPr>
            <w:tcW w:w="1905" w:type="dxa"/>
            <w:tcBorders>
              <w:top w:val="outset" w:sz="6" w:space="0" w:color="auto"/>
              <w:left w:val="outset" w:sz="6" w:space="0" w:color="auto"/>
              <w:bottom w:val="outset" w:sz="6" w:space="0" w:color="auto"/>
              <w:right w:val="outset" w:sz="6" w:space="0" w:color="auto"/>
            </w:tcBorders>
            <w:hideMark/>
          </w:tcPr>
          <w:p w14:paraId="0505039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tc>
      </w:tr>
      <w:tr w:rsidR="00E56A40" w:rsidRPr="00E56A40" w14:paraId="60EA7336"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35546B1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all plants</w:t>
            </w:r>
          </w:p>
        </w:tc>
        <w:tc>
          <w:tcPr>
            <w:tcW w:w="2205" w:type="dxa"/>
            <w:tcBorders>
              <w:top w:val="outset" w:sz="6" w:space="0" w:color="auto"/>
              <w:left w:val="outset" w:sz="6" w:space="0" w:color="auto"/>
              <w:bottom w:val="outset" w:sz="6" w:space="0" w:color="auto"/>
              <w:right w:val="outset" w:sz="6" w:space="0" w:color="auto"/>
            </w:tcBorders>
            <w:hideMark/>
          </w:tcPr>
          <w:p w14:paraId="029C59E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t>
            </w:r>
          </w:p>
        </w:tc>
        <w:tc>
          <w:tcPr>
            <w:tcW w:w="2805" w:type="dxa"/>
            <w:tcBorders>
              <w:top w:val="outset" w:sz="6" w:space="0" w:color="auto"/>
              <w:left w:val="outset" w:sz="6" w:space="0" w:color="auto"/>
              <w:bottom w:val="outset" w:sz="6" w:space="0" w:color="auto"/>
              <w:right w:val="outset" w:sz="6" w:space="0" w:color="auto"/>
            </w:tcBorders>
            <w:hideMark/>
          </w:tcPr>
          <w:p w14:paraId="4332780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745" w:type="dxa"/>
            <w:tcBorders>
              <w:top w:val="outset" w:sz="6" w:space="0" w:color="auto"/>
              <w:left w:val="outset" w:sz="6" w:space="0" w:color="auto"/>
              <w:bottom w:val="outset" w:sz="6" w:space="0" w:color="auto"/>
              <w:right w:val="outset" w:sz="6" w:space="0" w:color="auto"/>
            </w:tcBorders>
            <w:hideMark/>
          </w:tcPr>
          <w:p w14:paraId="02341884"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phytoextraction of chlordecone from contaminated soils</w:t>
            </w:r>
          </w:p>
        </w:tc>
        <w:tc>
          <w:tcPr>
            <w:tcW w:w="1905" w:type="dxa"/>
            <w:tcBorders>
              <w:top w:val="outset" w:sz="6" w:space="0" w:color="auto"/>
              <w:left w:val="outset" w:sz="6" w:space="0" w:color="auto"/>
              <w:bottom w:val="outset" w:sz="6" w:space="0" w:color="auto"/>
              <w:right w:val="outset" w:sz="6" w:space="0" w:color="auto"/>
            </w:tcBorders>
            <w:hideMark/>
          </w:tcPr>
          <w:p w14:paraId="239D344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Liber et al. 2018</w:t>
            </w:r>
          </w:p>
        </w:tc>
      </w:tr>
      <w:tr w:rsidR="00E56A40" w:rsidRPr="00E56A40" w14:paraId="2A0301DD"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1D52C80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all plants</w:t>
            </w:r>
          </w:p>
        </w:tc>
        <w:tc>
          <w:tcPr>
            <w:tcW w:w="2205" w:type="dxa"/>
            <w:tcBorders>
              <w:top w:val="outset" w:sz="6" w:space="0" w:color="auto"/>
              <w:left w:val="outset" w:sz="6" w:space="0" w:color="auto"/>
              <w:bottom w:val="outset" w:sz="6" w:space="0" w:color="auto"/>
              <w:right w:val="outset" w:sz="6" w:space="0" w:color="auto"/>
            </w:tcBorders>
            <w:hideMark/>
          </w:tcPr>
          <w:p w14:paraId="0BD11748"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autohydrolysis and activated carbon adsorption and ethanol elution</w:t>
            </w:r>
          </w:p>
        </w:tc>
        <w:tc>
          <w:tcPr>
            <w:tcW w:w="2805" w:type="dxa"/>
            <w:tcBorders>
              <w:top w:val="outset" w:sz="6" w:space="0" w:color="auto"/>
              <w:left w:val="outset" w:sz="6" w:space="0" w:color="auto"/>
              <w:bottom w:val="outset" w:sz="6" w:space="0" w:color="auto"/>
              <w:right w:val="outset" w:sz="6" w:space="0" w:color="auto"/>
            </w:tcBorders>
            <w:hideMark/>
          </w:tcPr>
          <w:p w14:paraId="6F76CAF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xylooligosaccharides</w:t>
            </w:r>
          </w:p>
        </w:tc>
        <w:tc>
          <w:tcPr>
            <w:tcW w:w="2745" w:type="dxa"/>
            <w:tcBorders>
              <w:top w:val="outset" w:sz="6" w:space="0" w:color="auto"/>
              <w:left w:val="outset" w:sz="6" w:space="0" w:color="auto"/>
              <w:bottom w:val="outset" w:sz="6" w:space="0" w:color="auto"/>
              <w:right w:val="outset" w:sz="6" w:space="0" w:color="auto"/>
            </w:tcBorders>
            <w:hideMark/>
          </w:tcPr>
          <w:p w14:paraId="3B56681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source of carbon to culture of </w:t>
            </w:r>
            <w:r w:rsidRPr="00FF4196">
              <w:rPr>
                <w:rFonts w:ascii="Times New Roman" w:eastAsia="Times New Roman" w:hAnsi="Times New Roman" w:cs="Times New Roman"/>
                <w:i/>
                <w:iCs/>
                <w:sz w:val="24"/>
                <w:szCs w:val="24"/>
                <w:lang w:val="en-US" w:eastAsia="pl-PL"/>
              </w:rPr>
              <w:t>Bifidobacterium adolescentis</w:t>
            </w:r>
            <w:r w:rsidRPr="00FF4196">
              <w:rPr>
                <w:rFonts w:ascii="Times New Roman" w:eastAsia="Times New Roman" w:hAnsi="Times New Roman" w:cs="Times New Roman"/>
                <w:sz w:val="24"/>
                <w:szCs w:val="24"/>
                <w:lang w:val="en-US" w:eastAsia="pl-PL"/>
              </w:rPr>
              <w:t xml:space="preserve"> and </w:t>
            </w:r>
            <w:r w:rsidRPr="00FF4196">
              <w:rPr>
                <w:rFonts w:ascii="Times New Roman" w:eastAsia="Times New Roman" w:hAnsi="Times New Roman" w:cs="Times New Roman"/>
                <w:i/>
                <w:iCs/>
                <w:sz w:val="24"/>
                <w:szCs w:val="24"/>
                <w:lang w:val="en-US" w:eastAsia="pl-PL"/>
              </w:rPr>
              <w:t>Bifidobacterium catenulatum</w:t>
            </w:r>
          </w:p>
        </w:tc>
        <w:tc>
          <w:tcPr>
            <w:tcW w:w="1905" w:type="dxa"/>
            <w:tcBorders>
              <w:top w:val="outset" w:sz="6" w:space="0" w:color="auto"/>
              <w:left w:val="outset" w:sz="6" w:space="0" w:color="auto"/>
              <w:bottom w:val="outset" w:sz="6" w:space="0" w:color="auto"/>
              <w:right w:val="outset" w:sz="6" w:space="0" w:color="auto"/>
            </w:tcBorders>
            <w:hideMark/>
          </w:tcPr>
          <w:p w14:paraId="7CE2F5F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Chen et al. 2016</w:t>
            </w:r>
          </w:p>
        </w:tc>
      </w:tr>
      <w:tr w:rsidR="00E56A40" w:rsidRPr="00E56A40" w14:paraId="18C57311"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506B3BF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all plants</w:t>
            </w:r>
          </w:p>
        </w:tc>
        <w:tc>
          <w:tcPr>
            <w:tcW w:w="2205" w:type="dxa"/>
            <w:tcBorders>
              <w:top w:val="outset" w:sz="6" w:space="0" w:color="auto"/>
              <w:left w:val="outset" w:sz="6" w:space="0" w:color="auto"/>
              <w:bottom w:val="outset" w:sz="6" w:space="0" w:color="auto"/>
              <w:right w:val="outset" w:sz="6" w:space="0" w:color="auto"/>
            </w:tcBorders>
            <w:hideMark/>
          </w:tcPr>
          <w:p w14:paraId="3CE7A9C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mechanically press juice</w:t>
            </w:r>
          </w:p>
        </w:tc>
        <w:tc>
          <w:tcPr>
            <w:tcW w:w="2805" w:type="dxa"/>
            <w:tcBorders>
              <w:top w:val="outset" w:sz="6" w:space="0" w:color="auto"/>
              <w:left w:val="outset" w:sz="6" w:space="0" w:color="auto"/>
              <w:bottom w:val="outset" w:sz="6" w:space="0" w:color="auto"/>
              <w:right w:val="outset" w:sz="6" w:space="0" w:color="auto"/>
            </w:tcBorders>
            <w:hideMark/>
          </w:tcPr>
          <w:p w14:paraId="1E6807B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t>
            </w:r>
          </w:p>
        </w:tc>
        <w:tc>
          <w:tcPr>
            <w:tcW w:w="2745" w:type="dxa"/>
            <w:tcBorders>
              <w:top w:val="outset" w:sz="6" w:space="0" w:color="auto"/>
              <w:left w:val="outset" w:sz="6" w:space="0" w:color="auto"/>
              <w:bottom w:val="outset" w:sz="6" w:space="0" w:color="auto"/>
              <w:right w:val="outset" w:sz="6" w:space="0" w:color="auto"/>
            </w:tcBorders>
            <w:hideMark/>
          </w:tcPr>
          <w:p w14:paraId="17FDA119"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nutritious source for the cultivation of lactic acid bacteria and yeast </w:t>
            </w:r>
            <w:r w:rsidRPr="00FF4196">
              <w:rPr>
                <w:rFonts w:ascii="Times New Roman" w:eastAsia="Times New Roman" w:hAnsi="Times New Roman" w:cs="Times New Roman"/>
                <w:i/>
                <w:iCs/>
                <w:sz w:val="24"/>
                <w:szCs w:val="24"/>
                <w:lang w:val="en-US" w:eastAsia="pl-PL"/>
              </w:rPr>
              <w:t>S. cerevisiae</w:t>
            </w:r>
          </w:p>
        </w:tc>
        <w:tc>
          <w:tcPr>
            <w:tcW w:w="1905" w:type="dxa"/>
            <w:tcBorders>
              <w:top w:val="outset" w:sz="6" w:space="0" w:color="auto"/>
              <w:left w:val="outset" w:sz="6" w:space="0" w:color="auto"/>
              <w:bottom w:val="outset" w:sz="6" w:space="0" w:color="auto"/>
              <w:right w:val="outset" w:sz="6" w:space="0" w:color="auto"/>
            </w:tcBorders>
            <w:hideMark/>
          </w:tcPr>
          <w:p w14:paraId="781A01D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Boakye-Boaten et al. 2016</w:t>
            </w:r>
          </w:p>
        </w:tc>
      </w:tr>
      <w:tr w:rsidR="00E56A40" w:rsidRPr="00E56A40" w14:paraId="7F3B4C2F"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69DC249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leaves and stems</w:t>
            </w:r>
          </w:p>
        </w:tc>
        <w:tc>
          <w:tcPr>
            <w:tcW w:w="2205" w:type="dxa"/>
            <w:tcBorders>
              <w:top w:val="outset" w:sz="6" w:space="0" w:color="auto"/>
              <w:left w:val="outset" w:sz="6" w:space="0" w:color="auto"/>
              <w:bottom w:val="outset" w:sz="6" w:space="0" w:color="auto"/>
              <w:right w:val="outset" w:sz="6" w:space="0" w:color="auto"/>
            </w:tcBorders>
            <w:hideMark/>
          </w:tcPr>
          <w:p w14:paraId="3D75D29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 extract</w:t>
            </w:r>
          </w:p>
        </w:tc>
        <w:tc>
          <w:tcPr>
            <w:tcW w:w="2805" w:type="dxa"/>
            <w:tcBorders>
              <w:top w:val="outset" w:sz="6" w:space="0" w:color="auto"/>
              <w:left w:val="outset" w:sz="6" w:space="0" w:color="auto"/>
              <w:bottom w:val="outset" w:sz="6" w:space="0" w:color="auto"/>
              <w:right w:val="outset" w:sz="6" w:space="0" w:color="auto"/>
            </w:tcBorders>
            <w:hideMark/>
          </w:tcPr>
          <w:p w14:paraId="6C1D8542"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hydroxycinnamic acid conjugates and flavonoids</w:t>
            </w:r>
          </w:p>
        </w:tc>
        <w:tc>
          <w:tcPr>
            <w:tcW w:w="2745" w:type="dxa"/>
            <w:tcBorders>
              <w:top w:val="outset" w:sz="6" w:space="0" w:color="auto"/>
              <w:left w:val="outset" w:sz="6" w:space="0" w:color="auto"/>
              <w:bottom w:val="outset" w:sz="6" w:space="0" w:color="auto"/>
              <w:right w:val="outset" w:sz="6" w:space="0" w:color="auto"/>
            </w:tcBorders>
            <w:hideMark/>
          </w:tcPr>
          <w:p w14:paraId="438E25F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905" w:type="dxa"/>
            <w:tcBorders>
              <w:top w:val="outset" w:sz="6" w:space="0" w:color="auto"/>
              <w:left w:val="outset" w:sz="6" w:space="0" w:color="auto"/>
              <w:bottom w:val="outset" w:sz="6" w:space="0" w:color="auto"/>
              <w:right w:val="outset" w:sz="6" w:space="0" w:color="auto"/>
            </w:tcBorders>
            <w:hideMark/>
          </w:tcPr>
          <w:p w14:paraId="3F5371A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Parveen et al. 2011</w:t>
            </w:r>
          </w:p>
        </w:tc>
      </w:tr>
    </w:tbl>
    <w:p w14:paraId="20E69C5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 no data</w:t>
      </w:r>
    </w:p>
    <w:p w14:paraId="4A08736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4140CA7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p w14:paraId="6DA3A445"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Liber, Y., et al. (2018). "Growth parameters influencing uptake of chlordecone by Miscanthus species." Sci Total Environ 624: 831-837.</w:t>
      </w:r>
    </w:p>
    <w:p w14:paraId="39E1ECF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Chen, M.H., et al. (2016). “Miscanthus×giganteus xylooligosaccharides: Purification and fermentation.” Carbohydr Polym 140: 96-103.</w:t>
      </w:r>
    </w:p>
    <w:p w14:paraId="2B4DA4E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Boakye-Boaten, N.A., et al. (2016). “Uses of miscanthus press juice within a green biorefinery platform.” Bioresour Technol 207:285-292.</w:t>
      </w:r>
    </w:p>
    <w:p w14:paraId="5CBC7A4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lang w:val="en-US" w:eastAsia="pl-PL"/>
        </w:rPr>
        <w:t>Parveen I., et al. (2011). “Isolation, identification and quantitation of hydroxycinnamic acid conjugates, potential platform chemicals, in the leaves and stems of Miscanthus × giganteus using LC-ESI-MS</w:t>
      </w:r>
      <w:r w:rsidRPr="00FF4196">
        <w:rPr>
          <w:rFonts w:ascii="Times New Roman" w:eastAsia="Times New Roman" w:hAnsi="Times New Roman" w:cs="Times New Roman"/>
          <w:sz w:val="24"/>
          <w:szCs w:val="24"/>
          <w:vertAlign w:val="superscript"/>
          <w:lang w:val="en-US" w:eastAsia="pl-PL"/>
        </w:rPr>
        <w:t>n</w:t>
      </w:r>
      <w:r w:rsidRPr="00FF4196">
        <w:rPr>
          <w:rFonts w:ascii="Times New Roman" w:eastAsia="Times New Roman" w:hAnsi="Times New Roman" w:cs="Times New Roman"/>
          <w:sz w:val="24"/>
          <w:szCs w:val="24"/>
          <w:lang w:val="en-US" w:eastAsia="pl-PL"/>
        </w:rPr>
        <w:t xml:space="preserve">.” </w:t>
      </w:r>
      <w:r w:rsidRPr="00E56A40">
        <w:rPr>
          <w:rFonts w:ascii="Times New Roman" w:eastAsia="Times New Roman" w:hAnsi="Times New Roman" w:cs="Times New Roman"/>
          <w:sz w:val="24"/>
          <w:szCs w:val="24"/>
          <w:lang w:eastAsia="pl-PL"/>
        </w:rPr>
        <w:t>Phytochemistry 72(18):2376-2384.</w:t>
      </w:r>
    </w:p>
    <w:p w14:paraId="45ABC46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699A1EE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7"/>
          <w:szCs w:val="27"/>
          <w:lang w:eastAsia="pl-PL"/>
        </w:rPr>
        <w:t>Miscanthus sinensis</w:t>
      </w:r>
      <w:r w:rsidRPr="00E56A40">
        <w:rPr>
          <w:rFonts w:ascii="Times New Roman" w:eastAsia="Times New Roman" w:hAnsi="Times New Roman" w:cs="Times New Roman"/>
          <w:i/>
          <w:iCs/>
          <w:sz w:val="27"/>
          <w:szCs w:val="27"/>
          <w:lang w:eastAsia="pl-PL"/>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1"/>
        <w:gridCol w:w="1892"/>
        <w:gridCol w:w="2370"/>
        <w:gridCol w:w="2115"/>
        <w:gridCol w:w="1428"/>
      </w:tblGrid>
      <w:tr w:rsidR="00E56A40" w:rsidRPr="00E56A40" w14:paraId="5DEBE13A"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58A1217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Source</w:t>
            </w:r>
          </w:p>
        </w:tc>
        <w:tc>
          <w:tcPr>
            <w:tcW w:w="2205" w:type="dxa"/>
            <w:tcBorders>
              <w:top w:val="outset" w:sz="6" w:space="0" w:color="auto"/>
              <w:left w:val="outset" w:sz="6" w:space="0" w:color="auto"/>
              <w:bottom w:val="outset" w:sz="6" w:space="0" w:color="auto"/>
              <w:right w:val="outset" w:sz="6" w:space="0" w:color="auto"/>
            </w:tcBorders>
            <w:hideMark/>
          </w:tcPr>
          <w:p w14:paraId="388DDB5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Extraction methods/solvent</w:t>
            </w:r>
          </w:p>
        </w:tc>
        <w:tc>
          <w:tcPr>
            <w:tcW w:w="2805" w:type="dxa"/>
            <w:tcBorders>
              <w:top w:val="outset" w:sz="6" w:space="0" w:color="auto"/>
              <w:left w:val="outset" w:sz="6" w:space="0" w:color="auto"/>
              <w:bottom w:val="outset" w:sz="6" w:space="0" w:color="auto"/>
              <w:right w:val="outset" w:sz="6" w:space="0" w:color="auto"/>
            </w:tcBorders>
            <w:hideMark/>
          </w:tcPr>
          <w:p w14:paraId="3524CE9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Compound</w:t>
            </w:r>
          </w:p>
        </w:tc>
        <w:tc>
          <w:tcPr>
            <w:tcW w:w="2745" w:type="dxa"/>
            <w:tcBorders>
              <w:top w:val="outset" w:sz="6" w:space="0" w:color="auto"/>
              <w:left w:val="outset" w:sz="6" w:space="0" w:color="auto"/>
              <w:bottom w:val="outset" w:sz="6" w:space="0" w:color="auto"/>
              <w:right w:val="outset" w:sz="6" w:space="0" w:color="auto"/>
            </w:tcBorders>
            <w:hideMark/>
          </w:tcPr>
          <w:p w14:paraId="6016F20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Biological activity</w:t>
            </w:r>
          </w:p>
        </w:tc>
        <w:tc>
          <w:tcPr>
            <w:tcW w:w="1905" w:type="dxa"/>
            <w:tcBorders>
              <w:top w:val="outset" w:sz="6" w:space="0" w:color="auto"/>
              <w:left w:val="outset" w:sz="6" w:space="0" w:color="auto"/>
              <w:bottom w:val="outset" w:sz="6" w:space="0" w:color="auto"/>
              <w:right w:val="outset" w:sz="6" w:space="0" w:color="auto"/>
            </w:tcBorders>
            <w:hideMark/>
          </w:tcPr>
          <w:p w14:paraId="6B4F57E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tc>
      </w:tr>
      <w:tr w:rsidR="00E56A40" w:rsidRPr="00E56A40" w14:paraId="3067524D"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3D2C63C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spikes</w:t>
            </w:r>
          </w:p>
        </w:tc>
        <w:tc>
          <w:tcPr>
            <w:tcW w:w="2205" w:type="dxa"/>
            <w:tcBorders>
              <w:top w:val="outset" w:sz="6" w:space="0" w:color="auto"/>
              <w:left w:val="outset" w:sz="6" w:space="0" w:color="auto"/>
              <w:bottom w:val="outset" w:sz="6" w:space="0" w:color="auto"/>
              <w:right w:val="outset" w:sz="6" w:space="0" w:color="auto"/>
            </w:tcBorders>
            <w:hideMark/>
          </w:tcPr>
          <w:p w14:paraId="6AFCD73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water extract</w:t>
            </w:r>
          </w:p>
        </w:tc>
        <w:tc>
          <w:tcPr>
            <w:tcW w:w="2805" w:type="dxa"/>
            <w:tcBorders>
              <w:top w:val="outset" w:sz="6" w:space="0" w:color="auto"/>
              <w:left w:val="outset" w:sz="6" w:space="0" w:color="auto"/>
              <w:bottom w:val="outset" w:sz="6" w:space="0" w:color="auto"/>
              <w:right w:val="outset" w:sz="6" w:space="0" w:color="auto"/>
            </w:tcBorders>
            <w:hideMark/>
          </w:tcPr>
          <w:p w14:paraId="00D8E72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745" w:type="dxa"/>
            <w:tcBorders>
              <w:top w:val="outset" w:sz="6" w:space="0" w:color="auto"/>
              <w:left w:val="outset" w:sz="6" w:space="0" w:color="auto"/>
              <w:bottom w:val="outset" w:sz="6" w:space="0" w:color="auto"/>
              <w:right w:val="outset" w:sz="6" w:space="0" w:color="auto"/>
            </w:tcBorders>
            <w:hideMark/>
          </w:tcPr>
          <w:p w14:paraId="1C2836A8"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IgE antibody formation in mice</w:t>
            </w:r>
          </w:p>
        </w:tc>
        <w:tc>
          <w:tcPr>
            <w:tcW w:w="1905" w:type="dxa"/>
            <w:tcBorders>
              <w:top w:val="outset" w:sz="6" w:space="0" w:color="auto"/>
              <w:left w:val="outset" w:sz="6" w:space="0" w:color="auto"/>
              <w:bottom w:val="outset" w:sz="6" w:space="0" w:color="auto"/>
              <w:right w:val="outset" w:sz="6" w:space="0" w:color="auto"/>
            </w:tcBorders>
            <w:hideMark/>
          </w:tcPr>
          <w:p w14:paraId="4DC5980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Xu et al. 1993</w:t>
            </w:r>
          </w:p>
        </w:tc>
      </w:tr>
      <w:tr w:rsidR="00E56A40" w:rsidRPr="00E56A40" w14:paraId="2D335C03"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06CD23D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spikelets</w:t>
            </w:r>
          </w:p>
        </w:tc>
        <w:tc>
          <w:tcPr>
            <w:tcW w:w="2205" w:type="dxa"/>
            <w:tcBorders>
              <w:top w:val="outset" w:sz="6" w:space="0" w:color="auto"/>
              <w:left w:val="outset" w:sz="6" w:space="0" w:color="auto"/>
              <w:bottom w:val="outset" w:sz="6" w:space="0" w:color="auto"/>
              <w:right w:val="outset" w:sz="6" w:space="0" w:color="auto"/>
            </w:tcBorders>
            <w:hideMark/>
          </w:tcPr>
          <w:p w14:paraId="06E5077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water and methanol extracts</w:t>
            </w:r>
          </w:p>
        </w:tc>
        <w:tc>
          <w:tcPr>
            <w:tcW w:w="2805" w:type="dxa"/>
            <w:tcBorders>
              <w:top w:val="outset" w:sz="6" w:space="0" w:color="auto"/>
              <w:left w:val="outset" w:sz="6" w:space="0" w:color="auto"/>
              <w:bottom w:val="outset" w:sz="6" w:space="0" w:color="auto"/>
              <w:right w:val="outset" w:sz="6" w:space="0" w:color="auto"/>
            </w:tcBorders>
            <w:hideMark/>
          </w:tcPr>
          <w:p w14:paraId="1B5B11B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glycoproteins</w:t>
            </w:r>
          </w:p>
        </w:tc>
        <w:tc>
          <w:tcPr>
            <w:tcW w:w="2745" w:type="dxa"/>
            <w:tcBorders>
              <w:top w:val="outset" w:sz="6" w:space="0" w:color="auto"/>
              <w:left w:val="outset" w:sz="6" w:space="0" w:color="auto"/>
              <w:bottom w:val="outset" w:sz="6" w:space="0" w:color="auto"/>
              <w:right w:val="outset" w:sz="6" w:space="0" w:color="auto"/>
            </w:tcBorders>
            <w:hideMark/>
          </w:tcPr>
          <w:p w14:paraId="0FC3F5B3"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IgE-mediated biphasic cutaneous reactions in mice</w:t>
            </w:r>
          </w:p>
        </w:tc>
        <w:tc>
          <w:tcPr>
            <w:tcW w:w="1905" w:type="dxa"/>
            <w:tcBorders>
              <w:top w:val="outset" w:sz="6" w:space="0" w:color="auto"/>
              <w:left w:val="outset" w:sz="6" w:space="0" w:color="auto"/>
              <w:bottom w:val="outset" w:sz="6" w:space="0" w:color="auto"/>
              <w:right w:val="outset" w:sz="6" w:space="0" w:color="auto"/>
            </w:tcBorders>
            <w:hideMark/>
          </w:tcPr>
          <w:p w14:paraId="6BB5816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Watanabe et al. 1998</w:t>
            </w:r>
          </w:p>
        </w:tc>
      </w:tr>
      <w:tr w:rsidR="00E56A40" w:rsidRPr="00E56A40" w14:paraId="14DC1004"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265DAD1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flower</w:t>
            </w:r>
          </w:p>
        </w:tc>
        <w:tc>
          <w:tcPr>
            <w:tcW w:w="2205" w:type="dxa"/>
            <w:tcBorders>
              <w:top w:val="outset" w:sz="6" w:space="0" w:color="auto"/>
              <w:left w:val="outset" w:sz="6" w:space="0" w:color="auto"/>
              <w:bottom w:val="outset" w:sz="6" w:space="0" w:color="auto"/>
              <w:right w:val="outset" w:sz="6" w:space="0" w:color="auto"/>
            </w:tcBorders>
            <w:hideMark/>
          </w:tcPr>
          <w:p w14:paraId="72C6289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 extract</w:t>
            </w:r>
          </w:p>
        </w:tc>
        <w:tc>
          <w:tcPr>
            <w:tcW w:w="2805" w:type="dxa"/>
            <w:tcBorders>
              <w:top w:val="outset" w:sz="6" w:space="0" w:color="auto"/>
              <w:left w:val="outset" w:sz="6" w:space="0" w:color="auto"/>
              <w:bottom w:val="outset" w:sz="6" w:space="0" w:color="auto"/>
              <w:right w:val="outset" w:sz="6" w:space="0" w:color="auto"/>
            </w:tcBorders>
            <w:hideMark/>
          </w:tcPr>
          <w:p w14:paraId="370F1B0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745" w:type="dxa"/>
            <w:tcBorders>
              <w:top w:val="outset" w:sz="6" w:space="0" w:color="auto"/>
              <w:left w:val="outset" w:sz="6" w:space="0" w:color="auto"/>
              <w:bottom w:val="outset" w:sz="6" w:space="0" w:color="auto"/>
              <w:right w:val="outset" w:sz="6" w:space="0" w:color="auto"/>
            </w:tcBorders>
            <w:hideMark/>
          </w:tcPr>
          <w:p w14:paraId="598C4849"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hair growth-promotion activities: down-regulated TGF-beta1, up-regulated HGF and beta-catenin in human dermal papilla cells</w:t>
            </w:r>
          </w:p>
        </w:tc>
        <w:tc>
          <w:tcPr>
            <w:tcW w:w="1905" w:type="dxa"/>
            <w:tcBorders>
              <w:top w:val="outset" w:sz="6" w:space="0" w:color="auto"/>
              <w:left w:val="outset" w:sz="6" w:space="0" w:color="auto"/>
              <w:bottom w:val="outset" w:sz="6" w:space="0" w:color="auto"/>
              <w:right w:val="outset" w:sz="6" w:space="0" w:color="auto"/>
            </w:tcBorders>
            <w:hideMark/>
          </w:tcPr>
          <w:p w14:paraId="75BDFE9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Jeong et al. 2017</w:t>
            </w:r>
          </w:p>
        </w:tc>
      </w:tr>
      <w:tr w:rsidR="00E56A40" w:rsidRPr="00E56A40" w14:paraId="1DB69012"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595F2F5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all plants</w:t>
            </w:r>
          </w:p>
        </w:tc>
        <w:tc>
          <w:tcPr>
            <w:tcW w:w="2205" w:type="dxa"/>
            <w:tcBorders>
              <w:top w:val="outset" w:sz="6" w:space="0" w:color="auto"/>
              <w:left w:val="outset" w:sz="6" w:space="0" w:color="auto"/>
              <w:bottom w:val="outset" w:sz="6" w:space="0" w:color="auto"/>
              <w:right w:val="outset" w:sz="6" w:space="0" w:color="auto"/>
            </w:tcBorders>
            <w:hideMark/>
          </w:tcPr>
          <w:p w14:paraId="33A8C85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t>
            </w:r>
          </w:p>
        </w:tc>
        <w:tc>
          <w:tcPr>
            <w:tcW w:w="2805" w:type="dxa"/>
            <w:tcBorders>
              <w:top w:val="outset" w:sz="6" w:space="0" w:color="auto"/>
              <w:left w:val="outset" w:sz="6" w:space="0" w:color="auto"/>
              <w:bottom w:val="outset" w:sz="6" w:space="0" w:color="auto"/>
              <w:right w:val="outset" w:sz="6" w:space="0" w:color="auto"/>
            </w:tcBorders>
            <w:hideMark/>
          </w:tcPr>
          <w:p w14:paraId="6D19BAD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745" w:type="dxa"/>
            <w:tcBorders>
              <w:top w:val="outset" w:sz="6" w:space="0" w:color="auto"/>
              <w:left w:val="outset" w:sz="6" w:space="0" w:color="auto"/>
              <w:bottom w:val="outset" w:sz="6" w:space="0" w:color="auto"/>
              <w:right w:val="outset" w:sz="6" w:space="0" w:color="auto"/>
            </w:tcBorders>
            <w:hideMark/>
          </w:tcPr>
          <w:p w14:paraId="0F21CE22"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phytoextraction of chlordecone from contaminated soils</w:t>
            </w:r>
          </w:p>
        </w:tc>
        <w:tc>
          <w:tcPr>
            <w:tcW w:w="1905" w:type="dxa"/>
            <w:tcBorders>
              <w:top w:val="outset" w:sz="6" w:space="0" w:color="auto"/>
              <w:left w:val="outset" w:sz="6" w:space="0" w:color="auto"/>
              <w:bottom w:val="outset" w:sz="6" w:space="0" w:color="auto"/>
              <w:right w:val="outset" w:sz="6" w:space="0" w:color="auto"/>
            </w:tcBorders>
            <w:hideMark/>
          </w:tcPr>
          <w:p w14:paraId="1EEDA3E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Liber et al. 2018</w:t>
            </w:r>
          </w:p>
        </w:tc>
      </w:tr>
      <w:tr w:rsidR="00E56A40" w:rsidRPr="00E56A40" w14:paraId="7AE58D17"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7FC1B54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 stems and flowers</w:t>
            </w:r>
          </w:p>
        </w:tc>
        <w:tc>
          <w:tcPr>
            <w:tcW w:w="2205" w:type="dxa"/>
            <w:tcBorders>
              <w:top w:val="outset" w:sz="6" w:space="0" w:color="auto"/>
              <w:left w:val="outset" w:sz="6" w:space="0" w:color="auto"/>
              <w:bottom w:val="outset" w:sz="6" w:space="0" w:color="auto"/>
              <w:right w:val="outset" w:sz="6" w:space="0" w:color="auto"/>
            </w:tcBorders>
            <w:hideMark/>
          </w:tcPr>
          <w:p w14:paraId="4553CA6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 extract</w:t>
            </w:r>
          </w:p>
        </w:tc>
        <w:tc>
          <w:tcPr>
            <w:tcW w:w="2805" w:type="dxa"/>
            <w:tcBorders>
              <w:top w:val="outset" w:sz="6" w:space="0" w:color="auto"/>
              <w:left w:val="outset" w:sz="6" w:space="0" w:color="auto"/>
              <w:bottom w:val="outset" w:sz="6" w:space="0" w:color="auto"/>
              <w:right w:val="outset" w:sz="6" w:space="0" w:color="auto"/>
            </w:tcBorders>
            <w:hideMark/>
          </w:tcPr>
          <w:p w14:paraId="3A89471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cinnamates, hydroxycinnamates,</w:t>
            </w:r>
          </w:p>
          <w:p w14:paraId="3F79C7A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hydroxybenzoic acids</w:t>
            </w:r>
          </w:p>
        </w:tc>
        <w:tc>
          <w:tcPr>
            <w:tcW w:w="2745" w:type="dxa"/>
            <w:tcBorders>
              <w:top w:val="outset" w:sz="6" w:space="0" w:color="auto"/>
              <w:left w:val="outset" w:sz="6" w:space="0" w:color="auto"/>
              <w:bottom w:val="outset" w:sz="6" w:space="0" w:color="auto"/>
              <w:right w:val="outset" w:sz="6" w:space="0" w:color="auto"/>
            </w:tcBorders>
            <w:hideMark/>
          </w:tcPr>
          <w:p w14:paraId="3DED1A4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905" w:type="dxa"/>
            <w:tcBorders>
              <w:top w:val="outset" w:sz="6" w:space="0" w:color="auto"/>
              <w:left w:val="outset" w:sz="6" w:space="0" w:color="auto"/>
              <w:bottom w:val="outset" w:sz="6" w:space="0" w:color="auto"/>
              <w:right w:val="outset" w:sz="6" w:space="0" w:color="auto"/>
            </w:tcBorders>
            <w:hideMark/>
          </w:tcPr>
          <w:p w14:paraId="4C15C9A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Parveen et al. 2013</w:t>
            </w:r>
          </w:p>
        </w:tc>
      </w:tr>
      <w:tr w:rsidR="00E56A40" w:rsidRPr="00E56A40" w14:paraId="04E60A6C"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5362968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lignin</w:t>
            </w:r>
          </w:p>
        </w:tc>
        <w:tc>
          <w:tcPr>
            <w:tcW w:w="2205" w:type="dxa"/>
            <w:tcBorders>
              <w:top w:val="outset" w:sz="6" w:space="0" w:color="auto"/>
              <w:left w:val="outset" w:sz="6" w:space="0" w:color="auto"/>
              <w:bottom w:val="outset" w:sz="6" w:space="0" w:color="auto"/>
              <w:right w:val="outset" w:sz="6" w:space="0" w:color="auto"/>
            </w:tcBorders>
            <w:hideMark/>
          </w:tcPr>
          <w:p w14:paraId="0834A31D"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ethanol-water extracts form ammonia water/high temperature treatment</w:t>
            </w:r>
          </w:p>
        </w:tc>
        <w:tc>
          <w:tcPr>
            <w:tcW w:w="2805" w:type="dxa"/>
            <w:tcBorders>
              <w:top w:val="outset" w:sz="6" w:space="0" w:color="auto"/>
              <w:left w:val="outset" w:sz="6" w:space="0" w:color="auto"/>
              <w:bottom w:val="outset" w:sz="6" w:space="0" w:color="auto"/>
              <w:right w:val="outset" w:sz="6" w:space="0" w:color="auto"/>
            </w:tcBorders>
            <w:hideMark/>
          </w:tcPr>
          <w:p w14:paraId="6662579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phenolic</w:t>
            </w:r>
          </w:p>
        </w:tc>
        <w:tc>
          <w:tcPr>
            <w:tcW w:w="2745" w:type="dxa"/>
            <w:tcBorders>
              <w:top w:val="outset" w:sz="6" w:space="0" w:color="auto"/>
              <w:left w:val="outset" w:sz="6" w:space="0" w:color="auto"/>
              <w:bottom w:val="outset" w:sz="6" w:space="0" w:color="auto"/>
              <w:right w:val="outset" w:sz="6" w:space="0" w:color="auto"/>
            </w:tcBorders>
            <w:hideMark/>
          </w:tcPr>
          <w:p w14:paraId="65C81832"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antioxidant: radical-scavenging activity with DPPH, SOD-like activity</w:t>
            </w:r>
          </w:p>
        </w:tc>
        <w:tc>
          <w:tcPr>
            <w:tcW w:w="1905" w:type="dxa"/>
            <w:tcBorders>
              <w:top w:val="outset" w:sz="6" w:space="0" w:color="auto"/>
              <w:left w:val="outset" w:sz="6" w:space="0" w:color="auto"/>
              <w:bottom w:val="outset" w:sz="6" w:space="0" w:color="auto"/>
              <w:right w:val="outset" w:sz="6" w:space="0" w:color="auto"/>
            </w:tcBorders>
            <w:hideMark/>
          </w:tcPr>
          <w:p w14:paraId="4855212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Kurakake et al. 2015</w:t>
            </w:r>
          </w:p>
        </w:tc>
      </w:tr>
    </w:tbl>
    <w:p w14:paraId="082A93A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 no data</w:t>
      </w:r>
    </w:p>
    <w:p w14:paraId="646E120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6DB76E0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p w14:paraId="31045B82"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Xu, H. X., et al. (1993). "Inhibitory effect of the water extract of spikes of Miscanthus sinensis on IgE formation in mice." Planta Med 59(6): 529-532.</w:t>
      </w:r>
    </w:p>
    <w:p w14:paraId="0F374BC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Watanabe, C., et al. (1998). "Effect of spikelets of Miscanthus sinensis on IgE-mediated biphasic cutaneous reaction in mice." Planta Med 64(1): 12-17.</w:t>
      </w:r>
    </w:p>
    <w:p w14:paraId="57635BC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Jeong, G., et al. (2017). "Effect of Miscanthus sinensis var. purpurascens flower extract on proliferation and molecular regulation in human dermal papilla cells and stressed C57BL/6 mice." Chin J Integr Med.</w:t>
      </w:r>
    </w:p>
    <w:p w14:paraId="19C3A6A6"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Liber, Y., et al. (2018). "Growth parameters influencing uptake of chlordecone by Miscanthus species." Sci Total Environ 624: 831-837.</w:t>
      </w:r>
    </w:p>
    <w:p w14:paraId="01DCF63D"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Parveen I., et al. (2013). “Potential sources of high value chemicals from leaves, stems and flowers of Miscanthus sinensis 'Goliath' and Miscanthus sacchariflorus.” Phytochemistry 92:160-167.</w:t>
      </w:r>
    </w:p>
    <w:p w14:paraId="14DF440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lang w:val="en-US" w:eastAsia="pl-PL"/>
        </w:rPr>
        <w:t xml:space="preserve">Kurakake M., et al. (2015). “Lignin antioxidants extracted from lignocellulosic biomasses by treatment with ammonia water.” </w:t>
      </w:r>
      <w:r w:rsidRPr="00E56A40">
        <w:rPr>
          <w:rFonts w:ascii="Times New Roman" w:eastAsia="Times New Roman" w:hAnsi="Times New Roman" w:cs="Times New Roman"/>
          <w:sz w:val="24"/>
          <w:szCs w:val="24"/>
          <w:lang w:eastAsia="pl-PL"/>
        </w:rPr>
        <w:t>Industrial Crops and Products 77: 1028-1032.</w:t>
      </w:r>
    </w:p>
    <w:p w14:paraId="5441670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6C1B82D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7"/>
          <w:szCs w:val="27"/>
          <w:lang w:eastAsia="pl-PL"/>
        </w:rPr>
        <w:t>Miscanthus sacchariflorus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9"/>
        <w:gridCol w:w="1932"/>
        <w:gridCol w:w="2426"/>
        <w:gridCol w:w="1966"/>
        <w:gridCol w:w="1483"/>
      </w:tblGrid>
      <w:tr w:rsidR="00E56A40" w:rsidRPr="00E56A40" w14:paraId="1E1A6201"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76783F0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Source</w:t>
            </w:r>
          </w:p>
        </w:tc>
        <w:tc>
          <w:tcPr>
            <w:tcW w:w="2205" w:type="dxa"/>
            <w:tcBorders>
              <w:top w:val="outset" w:sz="6" w:space="0" w:color="auto"/>
              <w:left w:val="outset" w:sz="6" w:space="0" w:color="auto"/>
              <w:bottom w:val="outset" w:sz="6" w:space="0" w:color="auto"/>
              <w:right w:val="outset" w:sz="6" w:space="0" w:color="auto"/>
            </w:tcBorders>
            <w:hideMark/>
          </w:tcPr>
          <w:p w14:paraId="7E16312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Extraction methods/solvent</w:t>
            </w:r>
          </w:p>
        </w:tc>
        <w:tc>
          <w:tcPr>
            <w:tcW w:w="2805" w:type="dxa"/>
            <w:tcBorders>
              <w:top w:val="outset" w:sz="6" w:space="0" w:color="auto"/>
              <w:left w:val="outset" w:sz="6" w:space="0" w:color="auto"/>
              <w:bottom w:val="outset" w:sz="6" w:space="0" w:color="auto"/>
              <w:right w:val="outset" w:sz="6" w:space="0" w:color="auto"/>
            </w:tcBorders>
            <w:hideMark/>
          </w:tcPr>
          <w:p w14:paraId="34678D2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Compound</w:t>
            </w:r>
          </w:p>
        </w:tc>
        <w:tc>
          <w:tcPr>
            <w:tcW w:w="2745" w:type="dxa"/>
            <w:tcBorders>
              <w:top w:val="outset" w:sz="6" w:space="0" w:color="auto"/>
              <w:left w:val="outset" w:sz="6" w:space="0" w:color="auto"/>
              <w:bottom w:val="outset" w:sz="6" w:space="0" w:color="auto"/>
              <w:right w:val="outset" w:sz="6" w:space="0" w:color="auto"/>
            </w:tcBorders>
            <w:hideMark/>
          </w:tcPr>
          <w:p w14:paraId="039E62F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Biological activity</w:t>
            </w:r>
          </w:p>
        </w:tc>
        <w:tc>
          <w:tcPr>
            <w:tcW w:w="1905" w:type="dxa"/>
            <w:tcBorders>
              <w:top w:val="outset" w:sz="6" w:space="0" w:color="auto"/>
              <w:left w:val="outset" w:sz="6" w:space="0" w:color="auto"/>
              <w:bottom w:val="outset" w:sz="6" w:space="0" w:color="auto"/>
              <w:right w:val="outset" w:sz="6" w:space="0" w:color="auto"/>
            </w:tcBorders>
            <w:hideMark/>
          </w:tcPr>
          <w:p w14:paraId="6E46684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tc>
      </w:tr>
      <w:tr w:rsidR="00E56A40" w:rsidRPr="00E56A40" w14:paraId="3A2AFDC2"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752E727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 stems and flowers</w:t>
            </w:r>
          </w:p>
        </w:tc>
        <w:tc>
          <w:tcPr>
            <w:tcW w:w="2205" w:type="dxa"/>
            <w:tcBorders>
              <w:top w:val="outset" w:sz="6" w:space="0" w:color="auto"/>
              <w:left w:val="outset" w:sz="6" w:space="0" w:color="auto"/>
              <w:bottom w:val="outset" w:sz="6" w:space="0" w:color="auto"/>
              <w:right w:val="outset" w:sz="6" w:space="0" w:color="auto"/>
            </w:tcBorders>
            <w:hideMark/>
          </w:tcPr>
          <w:p w14:paraId="11EB131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 extract</w:t>
            </w:r>
          </w:p>
        </w:tc>
        <w:tc>
          <w:tcPr>
            <w:tcW w:w="2805" w:type="dxa"/>
            <w:tcBorders>
              <w:top w:val="outset" w:sz="6" w:space="0" w:color="auto"/>
              <w:left w:val="outset" w:sz="6" w:space="0" w:color="auto"/>
              <w:bottom w:val="outset" w:sz="6" w:space="0" w:color="auto"/>
              <w:right w:val="outset" w:sz="6" w:space="0" w:color="auto"/>
            </w:tcBorders>
            <w:hideMark/>
          </w:tcPr>
          <w:p w14:paraId="0248C9A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cinnamates, hydroxycinnamates,</w:t>
            </w:r>
          </w:p>
          <w:p w14:paraId="3D6CD32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hydroxybenzoic acids</w:t>
            </w:r>
          </w:p>
        </w:tc>
        <w:tc>
          <w:tcPr>
            <w:tcW w:w="2745" w:type="dxa"/>
            <w:tcBorders>
              <w:top w:val="outset" w:sz="6" w:space="0" w:color="auto"/>
              <w:left w:val="outset" w:sz="6" w:space="0" w:color="auto"/>
              <w:bottom w:val="outset" w:sz="6" w:space="0" w:color="auto"/>
              <w:right w:val="outset" w:sz="6" w:space="0" w:color="auto"/>
            </w:tcBorders>
            <w:hideMark/>
          </w:tcPr>
          <w:p w14:paraId="12ED3D9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905" w:type="dxa"/>
            <w:tcBorders>
              <w:top w:val="outset" w:sz="6" w:space="0" w:color="auto"/>
              <w:left w:val="outset" w:sz="6" w:space="0" w:color="auto"/>
              <w:bottom w:val="outset" w:sz="6" w:space="0" w:color="auto"/>
              <w:right w:val="outset" w:sz="6" w:space="0" w:color="auto"/>
            </w:tcBorders>
            <w:hideMark/>
          </w:tcPr>
          <w:p w14:paraId="326079B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Parveen et al. 2013</w:t>
            </w:r>
          </w:p>
        </w:tc>
      </w:tr>
    </w:tbl>
    <w:p w14:paraId="1E55DAD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 no data</w:t>
      </w:r>
    </w:p>
    <w:p w14:paraId="5EBA0C8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227F726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p w14:paraId="0E53DD3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lastRenderedPageBreak/>
        <w:t>Parveen I., et al. (2013). “Potential sources of high value chemicals from leaves, stems and flowers of Miscanthus sinensis 'Goliath' and Miscanthus sacchariflorus.” Phytochemistry 92:160-167.</w:t>
      </w:r>
    </w:p>
    <w:p w14:paraId="428061BB" w14:textId="55F19E52" w:rsidR="00E56A40" w:rsidRPr="00FF4196" w:rsidRDefault="00E56A40">
      <w:pPr>
        <w:rPr>
          <w:lang w:val="en-US"/>
        </w:rPr>
      </w:pPr>
    </w:p>
    <w:p w14:paraId="31539E9C" w14:textId="6FF892F2" w:rsidR="00E56A40" w:rsidRPr="00FF4196" w:rsidRDefault="00E56A40">
      <w:pPr>
        <w:rPr>
          <w:lang w:val="en-US"/>
        </w:rPr>
      </w:pPr>
    </w:p>
    <w:p w14:paraId="2E2A4AAC" w14:textId="277F6C99" w:rsidR="00E56A40" w:rsidRPr="00FF4196" w:rsidRDefault="00E56A40">
      <w:pPr>
        <w:rPr>
          <w:lang w:val="en-US"/>
        </w:rPr>
      </w:pPr>
    </w:p>
    <w:p w14:paraId="5E75E154" w14:textId="6B5232BF" w:rsidR="00E56A40" w:rsidRPr="00FF4196" w:rsidRDefault="00E56A40">
      <w:pPr>
        <w:rPr>
          <w:lang w:val="en-US"/>
        </w:rPr>
      </w:pPr>
    </w:p>
    <w:p w14:paraId="4B71C46B" w14:textId="66892099" w:rsidR="00E56A40" w:rsidRPr="00FF4196" w:rsidRDefault="00E56A40">
      <w:pPr>
        <w:rPr>
          <w:lang w:val="en-US"/>
        </w:rPr>
      </w:pPr>
    </w:p>
    <w:p w14:paraId="3D57CDFE" w14:textId="77777777" w:rsidR="00E56A40" w:rsidRPr="00FF4196" w:rsidRDefault="00E56A40" w:rsidP="00E56A40">
      <w:pPr>
        <w:spacing w:before="100" w:beforeAutospacing="1" w:after="100" w:afterAutospacing="1" w:line="240" w:lineRule="auto"/>
        <w:outlineLvl w:val="0"/>
        <w:rPr>
          <w:rFonts w:ascii="Times New Roman" w:eastAsia="Times New Roman" w:hAnsi="Times New Roman" w:cs="Times New Roman"/>
          <w:b/>
          <w:bCs/>
          <w:kern w:val="36"/>
          <w:sz w:val="48"/>
          <w:szCs w:val="48"/>
          <w:lang w:val="en-US" w:eastAsia="pl-PL"/>
        </w:rPr>
      </w:pPr>
      <w:r w:rsidRPr="00FF4196">
        <w:rPr>
          <w:rFonts w:ascii="Times New Roman" w:eastAsia="Times New Roman" w:hAnsi="Times New Roman" w:cs="Times New Roman"/>
          <w:b/>
          <w:bCs/>
          <w:kern w:val="36"/>
          <w:sz w:val="48"/>
          <w:szCs w:val="48"/>
          <w:lang w:val="en-US" w:eastAsia="pl-PL"/>
        </w:rPr>
        <w:t>PLEX database - chemicals</w:t>
      </w:r>
    </w:p>
    <w:p w14:paraId="6C866249" w14:textId="48A628CF"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E56A40">
        <w:rPr>
          <w:noProof/>
        </w:rPr>
        <w:drawing>
          <wp:inline distT="0" distB="0" distL="0" distR="0" wp14:anchorId="6234869C" wp14:editId="28405FC1">
            <wp:extent cx="1409700" cy="525780"/>
            <wp:effectExtent l="0" t="0" r="0" b="7620"/>
            <wp:docPr id="5" name="Obraz 5">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9700" cy="525780"/>
                    </a:xfrm>
                    <a:prstGeom prst="rect">
                      <a:avLst/>
                    </a:prstGeom>
                    <a:noFill/>
                    <a:ln>
                      <a:noFill/>
                    </a:ln>
                  </pic:spPr>
                </pic:pic>
              </a:graphicData>
            </a:graphic>
          </wp:inline>
        </w:drawing>
      </w:r>
      <w:r w:rsidRPr="00FF4196">
        <w:rPr>
          <w:rFonts w:ascii="Times New Roman" w:eastAsia="Times New Roman" w:hAnsi="Times New Roman" w:cs="Times New Roman"/>
          <w:b/>
          <w:bCs/>
          <w:color w:val="FF0000"/>
          <w:sz w:val="36"/>
          <w:szCs w:val="36"/>
          <w:lang w:val="en-US" w:eastAsia="pl-PL"/>
        </w:rPr>
        <w:t xml:space="preserve">                    </w:t>
      </w:r>
      <w:r w:rsidRPr="00E56A40">
        <w:rPr>
          <w:noProof/>
        </w:rPr>
        <w:drawing>
          <wp:inline distT="0" distB="0" distL="0" distR="0" wp14:anchorId="141D01B1" wp14:editId="4DCEA956">
            <wp:extent cx="906780" cy="807720"/>
            <wp:effectExtent l="0" t="0" r="762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6780" cy="807720"/>
                    </a:xfrm>
                    <a:prstGeom prst="rect">
                      <a:avLst/>
                    </a:prstGeom>
                    <a:noFill/>
                    <a:ln>
                      <a:noFill/>
                    </a:ln>
                  </pic:spPr>
                </pic:pic>
              </a:graphicData>
            </a:graphic>
          </wp:inline>
        </w:drawing>
      </w:r>
      <w:r w:rsidRPr="00FF4196">
        <w:rPr>
          <w:rFonts w:ascii="Times New Roman" w:eastAsia="Times New Roman" w:hAnsi="Times New Roman" w:cs="Times New Roman"/>
          <w:b/>
          <w:bCs/>
          <w:color w:val="FF0000"/>
          <w:sz w:val="36"/>
          <w:szCs w:val="36"/>
          <w:lang w:val="en-US" w:eastAsia="pl-PL"/>
        </w:rPr>
        <w:t xml:space="preserve">                    </w:t>
      </w:r>
      <w:r w:rsidRPr="00E56A40">
        <w:rPr>
          <w:noProof/>
        </w:rPr>
        <w:drawing>
          <wp:inline distT="0" distB="0" distL="0" distR="0" wp14:anchorId="37D68FCF" wp14:editId="703B79D1">
            <wp:extent cx="365760" cy="335280"/>
            <wp:effectExtent l="0" t="0" r="0" b="7620"/>
            <wp:docPr id="3" name="Obraz 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5760" cy="335280"/>
                    </a:xfrm>
                    <a:prstGeom prst="rect">
                      <a:avLst/>
                    </a:prstGeom>
                    <a:noFill/>
                    <a:ln>
                      <a:noFill/>
                    </a:ln>
                  </pic:spPr>
                </pic:pic>
              </a:graphicData>
            </a:graphic>
          </wp:inline>
        </w:drawing>
      </w:r>
    </w:p>
    <w:p w14:paraId="7A7582A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w:t>
      </w:r>
    </w:p>
    <w:p w14:paraId="09213AED"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BIOproducts</w:t>
      </w:r>
      <w:r w:rsidRPr="00FF4196">
        <w:rPr>
          <w:rFonts w:ascii="Times New Roman" w:eastAsia="Times New Roman" w:hAnsi="Times New Roman" w:cs="Times New Roman"/>
          <w:sz w:val="24"/>
          <w:szCs w:val="24"/>
          <w:lang w:val="en-US" w:eastAsia="pl-PL"/>
        </w:rPr>
        <w:t> </w:t>
      </w:r>
      <w:r w:rsidRPr="00FF4196">
        <w:rPr>
          <w:rFonts w:ascii="Times New Roman" w:eastAsia="Times New Roman" w:hAnsi="Times New Roman" w:cs="Times New Roman"/>
          <w:b/>
          <w:bCs/>
          <w:sz w:val="24"/>
          <w:szCs w:val="24"/>
          <w:lang w:val="en-US" w:eastAsia="pl-PL"/>
        </w:rPr>
        <w:t>from lignocellulosic biomass derived from MArginal land to fill the Gap In Current national</w:t>
      </w:r>
      <w:r w:rsidRPr="00FF4196">
        <w:rPr>
          <w:rFonts w:ascii="Times New Roman" w:eastAsia="Times New Roman" w:hAnsi="Times New Roman" w:cs="Times New Roman"/>
          <w:sz w:val="24"/>
          <w:szCs w:val="24"/>
          <w:lang w:val="en-US" w:eastAsia="pl-PL"/>
        </w:rPr>
        <w:t> </w:t>
      </w:r>
      <w:r w:rsidRPr="00FF4196">
        <w:rPr>
          <w:rFonts w:ascii="Times New Roman" w:eastAsia="Times New Roman" w:hAnsi="Times New Roman" w:cs="Times New Roman"/>
          <w:b/>
          <w:bCs/>
          <w:sz w:val="24"/>
          <w:szCs w:val="24"/>
          <w:lang w:val="en-US" w:eastAsia="pl-PL"/>
        </w:rPr>
        <w:t>bioeconomy - BIOMAGIC</w:t>
      </w:r>
    </w:p>
    <w:p w14:paraId="5ADE40E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w:t>
      </w:r>
    </w:p>
    <w:p w14:paraId="1B6BED1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Projekt finansowany przez Narodowe Centrum Badań i Rozwoju w ramach programu BIOSTRATEG</w:t>
      </w:r>
    </w:p>
    <w:p w14:paraId="1672DCF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4F942BF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0266EDE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color w:val="FF0000"/>
          <w:sz w:val="36"/>
          <w:szCs w:val="36"/>
          <w:lang w:eastAsia="pl-PL"/>
        </w:rPr>
        <w:t>PLEX chemicals</w:t>
      </w:r>
    </w:p>
    <w:p w14:paraId="41C1B4F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Date: 08.01.2019</w:t>
      </w:r>
    </w:p>
    <w:p w14:paraId="3F4795B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1"/>
        <w:gridCol w:w="4586"/>
        <w:gridCol w:w="2489"/>
      </w:tblGrid>
      <w:tr w:rsidR="00E56A40" w:rsidRPr="00E56A40" w14:paraId="172DDABE" w14:textId="77777777" w:rsidTr="00E56A40">
        <w:trPr>
          <w:tblCellSpacing w:w="0" w:type="dxa"/>
        </w:trPr>
        <w:tc>
          <w:tcPr>
            <w:tcW w:w="2310" w:type="dxa"/>
            <w:tcBorders>
              <w:top w:val="outset" w:sz="6" w:space="0" w:color="auto"/>
              <w:left w:val="outset" w:sz="6" w:space="0" w:color="auto"/>
              <w:bottom w:val="outset" w:sz="6" w:space="0" w:color="auto"/>
              <w:right w:val="outset" w:sz="6" w:space="0" w:color="auto"/>
            </w:tcBorders>
            <w:hideMark/>
          </w:tcPr>
          <w:p w14:paraId="38464F6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Biomasa</w:t>
            </w:r>
          </w:p>
        </w:tc>
        <w:tc>
          <w:tcPr>
            <w:tcW w:w="5850" w:type="dxa"/>
            <w:tcBorders>
              <w:top w:val="outset" w:sz="6" w:space="0" w:color="auto"/>
              <w:left w:val="outset" w:sz="6" w:space="0" w:color="auto"/>
              <w:bottom w:val="outset" w:sz="6" w:space="0" w:color="auto"/>
              <w:right w:val="outset" w:sz="6" w:space="0" w:color="auto"/>
            </w:tcBorders>
            <w:hideMark/>
          </w:tcPr>
          <w:p w14:paraId="7C60699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Związek chemiczny</w:t>
            </w:r>
          </w:p>
        </w:tc>
        <w:tc>
          <w:tcPr>
            <w:tcW w:w="3225" w:type="dxa"/>
            <w:tcBorders>
              <w:top w:val="outset" w:sz="6" w:space="0" w:color="auto"/>
              <w:left w:val="outset" w:sz="6" w:space="0" w:color="auto"/>
              <w:bottom w:val="outset" w:sz="6" w:space="0" w:color="auto"/>
              <w:right w:val="outset" w:sz="6" w:space="0" w:color="auto"/>
            </w:tcBorders>
            <w:hideMark/>
          </w:tcPr>
          <w:p w14:paraId="19C0DEB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Literatura</w:t>
            </w:r>
          </w:p>
        </w:tc>
      </w:tr>
      <w:tr w:rsidR="00E56A40" w:rsidRPr="00E56A40" w14:paraId="6BE42D6F" w14:textId="77777777" w:rsidTr="00E56A40">
        <w:trPr>
          <w:tblCellSpacing w:w="0" w:type="dxa"/>
        </w:trPr>
        <w:tc>
          <w:tcPr>
            <w:tcW w:w="2310" w:type="dxa"/>
            <w:vMerge w:val="restart"/>
            <w:tcBorders>
              <w:top w:val="outset" w:sz="6" w:space="0" w:color="auto"/>
              <w:left w:val="outset" w:sz="6" w:space="0" w:color="auto"/>
              <w:bottom w:val="outset" w:sz="6" w:space="0" w:color="auto"/>
              <w:right w:val="outset" w:sz="6" w:space="0" w:color="auto"/>
            </w:tcBorders>
            <w:hideMark/>
          </w:tcPr>
          <w:p w14:paraId="552D7BF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4CF8D35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00D0CE6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658B33C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lastRenderedPageBreak/>
              <w:t> </w:t>
            </w:r>
          </w:p>
          <w:p w14:paraId="284E953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69BF333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Robinia akacjowa</w:t>
            </w:r>
          </w:p>
          <w:p w14:paraId="671C0BA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 </w:t>
            </w:r>
            <w:r w:rsidRPr="00E56A40">
              <w:rPr>
                <w:rFonts w:ascii="Times New Roman" w:eastAsia="Times New Roman" w:hAnsi="Times New Roman" w:cs="Times New Roman"/>
                <w:b/>
                <w:bCs/>
                <w:sz w:val="24"/>
                <w:szCs w:val="24"/>
                <w:lang w:eastAsia="pl-PL"/>
              </w:rPr>
              <w:t>(</w:t>
            </w:r>
            <w:r w:rsidRPr="00E56A40">
              <w:rPr>
                <w:rFonts w:ascii="Times New Roman" w:eastAsia="Times New Roman" w:hAnsi="Times New Roman" w:cs="Times New Roman"/>
                <w:b/>
                <w:bCs/>
                <w:i/>
                <w:iCs/>
                <w:sz w:val="24"/>
                <w:szCs w:val="24"/>
                <w:lang w:eastAsia="pl-PL"/>
              </w:rPr>
              <w:t xml:space="preserve">Robinia pseudoacacia </w:t>
            </w:r>
            <w:r w:rsidRPr="00E56A40">
              <w:rPr>
                <w:rFonts w:ascii="Times New Roman" w:eastAsia="Times New Roman" w:hAnsi="Times New Roman" w:cs="Times New Roman"/>
                <w:b/>
                <w:bCs/>
                <w:sz w:val="24"/>
                <w:szCs w:val="24"/>
                <w:lang w:eastAsia="pl-PL"/>
              </w:rPr>
              <w:t>L.</w:t>
            </w:r>
            <w:r w:rsidRPr="00E56A40">
              <w:rPr>
                <w:rFonts w:ascii="Times New Roman" w:eastAsia="Times New Roman" w:hAnsi="Times New Roman" w:cs="Times New Roman"/>
                <w:b/>
                <w:bCs/>
                <w:i/>
                <w:iCs/>
                <w:sz w:val="24"/>
                <w:szCs w:val="24"/>
                <w:lang w:eastAsia="pl-PL"/>
              </w:rPr>
              <w:t>)</w:t>
            </w:r>
          </w:p>
          <w:p w14:paraId="39F82DF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 </w:t>
            </w:r>
          </w:p>
        </w:tc>
        <w:tc>
          <w:tcPr>
            <w:tcW w:w="5850" w:type="dxa"/>
            <w:tcBorders>
              <w:top w:val="outset" w:sz="6" w:space="0" w:color="auto"/>
              <w:left w:val="outset" w:sz="6" w:space="0" w:color="auto"/>
              <w:bottom w:val="outset" w:sz="6" w:space="0" w:color="auto"/>
              <w:right w:val="outset" w:sz="6" w:space="0" w:color="auto"/>
            </w:tcBorders>
            <w:hideMark/>
          </w:tcPr>
          <w:p w14:paraId="0107E88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izolikwirytygenina</w:t>
            </w:r>
          </w:p>
        </w:tc>
        <w:tc>
          <w:tcPr>
            <w:tcW w:w="3225" w:type="dxa"/>
            <w:tcBorders>
              <w:top w:val="outset" w:sz="6" w:space="0" w:color="auto"/>
              <w:left w:val="outset" w:sz="6" w:space="0" w:color="auto"/>
              <w:bottom w:val="outset" w:sz="6" w:space="0" w:color="auto"/>
              <w:right w:val="outset" w:sz="6" w:space="0" w:color="auto"/>
            </w:tcBorders>
            <w:hideMark/>
          </w:tcPr>
          <w:p w14:paraId="276F177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1AC027A2"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BAFF4AC"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184A379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likwirytygenina</w:t>
            </w:r>
          </w:p>
        </w:tc>
        <w:tc>
          <w:tcPr>
            <w:tcW w:w="3225" w:type="dxa"/>
            <w:tcBorders>
              <w:top w:val="outset" w:sz="6" w:space="0" w:color="auto"/>
              <w:left w:val="outset" w:sz="6" w:space="0" w:color="auto"/>
              <w:bottom w:val="outset" w:sz="6" w:space="0" w:color="auto"/>
              <w:right w:val="outset" w:sz="6" w:space="0" w:color="auto"/>
            </w:tcBorders>
            <w:hideMark/>
          </w:tcPr>
          <w:p w14:paraId="72434BC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4D3ADA5F"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8BD26D3"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6B87569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akacetyna</w:t>
            </w:r>
          </w:p>
        </w:tc>
        <w:tc>
          <w:tcPr>
            <w:tcW w:w="3225" w:type="dxa"/>
            <w:tcBorders>
              <w:top w:val="outset" w:sz="6" w:space="0" w:color="auto"/>
              <w:left w:val="outset" w:sz="6" w:space="0" w:color="auto"/>
              <w:bottom w:val="outset" w:sz="6" w:space="0" w:color="auto"/>
              <w:right w:val="outset" w:sz="6" w:space="0" w:color="auto"/>
            </w:tcBorders>
            <w:hideMark/>
          </w:tcPr>
          <w:p w14:paraId="421225A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[5]</w:t>
            </w:r>
          </w:p>
        </w:tc>
      </w:tr>
      <w:tr w:rsidR="00E56A40" w:rsidRPr="00E56A40" w14:paraId="01D38322"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5D84786"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53CD7C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robinetyna</w:t>
            </w:r>
          </w:p>
        </w:tc>
        <w:tc>
          <w:tcPr>
            <w:tcW w:w="3225" w:type="dxa"/>
            <w:tcBorders>
              <w:top w:val="outset" w:sz="6" w:space="0" w:color="auto"/>
              <w:left w:val="outset" w:sz="6" w:space="0" w:color="auto"/>
              <w:bottom w:val="outset" w:sz="6" w:space="0" w:color="auto"/>
              <w:right w:val="outset" w:sz="6" w:space="0" w:color="auto"/>
            </w:tcBorders>
            <w:hideMark/>
          </w:tcPr>
          <w:p w14:paraId="7A2F40B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[2], [4]</w:t>
            </w:r>
          </w:p>
        </w:tc>
      </w:tr>
      <w:tr w:rsidR="00E56A40" w:rsidRPr="00E56A40" w14:paraId="57143D22"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A5A5531"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6683083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dihydrorobinetyna</w:t>
            </w:r>
          </w:p>
        </w:tc>
        <w:tc>
          <w:tcPr>
            <w:tcW w:w="3225" w:type="dxa"/>
            <w:tcBorders>
              <w:top w:val="outset" w:sz="6" w:space="0" w:color="auto"/>
              <w:left w:val="outset" w:sz="6" w:space="0" w:color="auto"/>
              <w:bottom w:val="outset" w:sz="6" w:space="0" w:color="auto"/>
              <w:right w:val="outset" w:sz="6" w:space="0" w:color="auto"/>
            </w:tcBorders>
            <w:hideMark/>
          </w:tcPr>
          <w:p w14:paraId="4BDF783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[2], [4]</w:t>
            </w:r>
          </w:p>
        </w:tc>
      </w:tr>
      <w:tr w:rsidR="00E56A40" w:rsidRPr="00E56A40" w14:paraId="0B570139"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E7A290E"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6F85C08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fustyna</w:t>
            </w:r>
          </w:p>
        </w:tc>
        <w:tc>
          <w:tcPr>
            <w:tcW w:w="3225" w:type="dxa"/>
            <w:tcBorders>
              <w:top w:val="outset" w:sz="6" w:space="0" w:color="auto"/>
              <w:left w:val="outset" w:sz="6" w:space="0" w:color="auto"/>
              <w:bottom w:val="outset" w:sz="6" w:space="0" w:color="auto"/>
              <w:right w:val="outset" w:sz="6" w:space="0" w:color="auto"/>
            </w:tcBorders>
            <w:hideMark/>
          </w:tcPr>
          <w:p w14:paraId="7938991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68BA7D37"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3D69BC9"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7B232AB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fizetyna</w:t>
            </w:r>
          </w:p>
        </w:tc>
        <w:tc>
          <w:tcPr>
            <w:tcW w:w="3225" w:type="dxa"/>
            <w:tcBorders>
              <w:top w:val="outset" w:sz="6" w:space="0" w:color="auto"/>
              <w:left w:val="outset" w:sz="6" w:space="0" w:color="auto"/>
              <w:bottom w:val="outset" w:sz="6" w:space="0" w:color="auto"/>
              <w:right w:val="outset" w:sz="6" w:space="0" w:color="auto"/>
            </w:tcBorders>
            <w:hideMark/>
          </w:tcPr>
          <w:p w14:paraId="0F2A66E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[7]</w:t>
            </w:r>
          </w:p>
        </w:tc>
      </w:tr>
      <w:tr w:rsidR="00E56A40" w:rsidRPr="00E56A40" w14:paraId="020CA805"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56283E4"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F6AA4A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buteina</w:t>
            </w:r>
          </w:p>
        </w:tc>
        <w:tc>
          <w:tcPr>
            <w:tcW w:w="3225" w:type="dxa"/>
            <w:tcBorders>
              <w:top w:val="outset" w:sz="6" w:space="0" w:color="auto"/>
              <w:left w:val="outset" w:sz="6" w:space="0" w:color="auto"/>
              <w:bottom w:val="outset" w:sz="6" w:space="0" w:color="auto"/>
              <w:right w:val="outset" w:sz="6" w:space="0" w:color="auto"/>
            </w:tcBorders>
            <w:hideMark/>
          </w:tcPr>
          <w:p w14:paraId="793BB14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580706FA"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A967659"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947067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mirycetyna</w:t>
            </w:r>
          </w:p>
        </w:tc>
        <w:tc>
          <w:tcPr>
            <w:tcW w:w="3225" w:type="dxa"/>
            <w:tcBorders>
              <w:top w:val="outset" w:sz="6" w:space="0" w:color="auto"/>
              <w:left w:val="outset" w:sz="6" w:space="0" w:color="auto"/>
              <w:bottom w:val="outset" w:sz="6" w:space="0" w:color="auto"/>
              <w:right w:val="outset" w:sz="6" w:space="0" w:color="auto"/>
            </w:tcBorders>
            <w:hideMark/>
          </w:tcPr>
          <w:p w14:paraId="74CF83F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[7]</w:t>
            </w:r>
          </w:p>
        </w:tc>
      </w:tr>
      <w:tr w:rsidR="00E56A40" w:rsidRPr="00E56A40" w14:paraId="3CB8671D"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0A39A16"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F5AFBB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dihydromirycetyna</w:t>
            </w:r>
          </w:p>
        </w:tc>
        <w:tc>
          <w:tcPr>
            <w:tcW w:w="3225" w:type="dxa"/>
            <w:tcBorders>
              <w:top w:val="outset" w:sz="6" w:space="0" w:color="auto"/>
              <w:left w:val="outset" w:sz="6" w:space="0" w:color="auto"/>
              <w:bottom w:val="outset" w:sz="6" w:space="0" w:color="auto"/>
              <w:right w:val="outset" w:sz="6" w:space="0" w:color="auto"/>
            </w:tcBorders>
            <w:hideMark/>
          </w:tcPr>
          <w:p w14:paraId="2078288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3158F220"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9589EBA"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27CDFB3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galusowy</w:t>
            </w:r>
          </w:p>
        </w:tc>
        <w:tc>
          <w:tcPr>
            <w:tcW w:w="3225" w:type="dxa"/>
            <w:tcBorders>
              <w:top w:val="outset" w:sz="6" w:space="0" w:color="auto"/>
              <w:left w:val="outset" w:sz="6" w:space="0" w:color="auto"/>
              <w:bottom w:val="outset" w:sz="6" w:space="0" w:color="auto"/>
              <w:right w:val="outset" w:sz="6" w:space="0" w:color="auto"/>
            </w:tcBorders>
            <w:hideMark/>
          </w:tcPr>
          <w:p w14:paraId="242B6F4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4DDFDEE5"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C4D8EB7"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0668DB3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elagowy</w:t>
            </w:r>
          </w:p>
        </w:tc>
        <w:tc>
          <w:tcPr>
            <w:tcW w:w="3225" w:type="dxa"/>
            <w:tcBorders>
              <w:top w:val="outset" w:sz="6" w:space="0" w:color="auto"/>
              <w:left w:val="outset" w:sz="6" w:space="0" w:color="auto"/>
              <w:bottom w:val="outset" w:sz="6" w:space="0" w:color="auto"/>
              <w:right w:val="outset" w:sz="6" w:space="0" w:color="auto"/>
            </w:tcBorders>
            <w:hideMark/>
          </w:tcPr>
          <w:p w14:paraId="7FADE96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1E0E8A58"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076E650"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0C6E4CD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resweratrol</w:t>
            </w:r>
          </w:p>
        </w:tc>
        <w:tc>
          <w:tcPr>
            <w:tcW w:w="3225" w:type="dxa"/>
            <w:tcBorders>
              <w:top w:val="outset" w:sz="6" w:space="0" w:color="auto"/>
              <w:left w:val="outset" w:sz="6" w:space="0" w:color="auto"/>
              <w:bottom w:val="outset" w:sz="6" w:space="0" w:color="auto"/>
              <w:right w:val="outset" w:sz="6" w:space="0" w:color="auto"/>
            </w:tcBorders>
            <w:hideMark/>
          </w:tcPr>
          <w:p w14:paraId="7E870D1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[6]</w:t>
            </w:r>
          </w:p>
        </w:tc>
      </w:tr>
      <w:tr w:rsidR="00E56A40" w:rsidRPr="00E56A40" w14:paraId="3F94A139"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EDE1B06"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19BF92D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piceatannol</w:t>
            </w:r>
          </w:p>
        </w:tc>
        <w:tc>
          <w:tcPr>
            <w:tcW w:w="3225" w:type="dxa"/>
            <w:tcBorders>
              <w:top w:val="outset" w:sz="6" w:space="0" w:color="auto"/>
              <w:left w:val="outset" w:sz="6" w:space="0" w:color="auto"/>
              <w:bottom w:val="outset" w:sz="6" w:space="0" w:color="auto"/>
              <w:right w:val="outset" w:sz="6" w:space="0" w:color="auto"/>
            </w:tcBorders>
            <w:hideMark/>
          </w:tcPr>
          <w:p w14:paraId="65711DE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2277579D"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3F9E90A"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656DFC9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diosmetyna</w:t>
            </w:r>
          </w:p>
        </w:tc>
        <w:tc>
          <w:tcPr>
            <w:tcW w:w="3225" w:type="dxa"/>
            <w:tcBorders>
              <w:top w:val="outset" w:sz="6" w:space="0" w:color="auto"/>
              <w:left w:val="outset" w:sz="6" w:space="0" w:color="auto"/>
              <w:bottom w:val="outset" w:sz="6" w:space="0" w:color="auto"/>
              <w:right w:val="outset" w:sz="6" w:space="0" w:color="auto"/>
            </w:tcBorders>
            <w:hideMark/>
          </w:tcPr>
          <w:p w14:paraId="47805CD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[3]</w:t>
            </w:r>
          </w:p>
        </w:tc>
      </w:tr>
      <w:tr w:rsidR="00E56A40" w:rsidRPr="00E56A40" w14:paraId="0E296E47"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768E6E5"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6E6EB64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apigenina</w:t>
            </w:r>
          </w:p>
        </w:tc>
        <w:tc>
          <w:tcPr>
            <w:tcW w:w="3225" w:type="dxa"/>
            <w:tcBorders>
              <w:top w:val="outset" w:sz="6" w:space="0" w:color="auto"/>
              <w:left w:val="outset" w:sz="6" w:space="0" w:color="auto"/>
              <w:bottom w:val="outset" w:sz="6" w:space="0" w:color="auto"/>
              <w:right w:val="outset" w:sz="6" w:space="0" w:color="auto"/>
            </w:tcBorders>
            <w:hideMark/>
          </w:tcPr>
          <w:p w14:paraId="2852DE5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[3], [7]</w:t>
            </w:r>
          </w:p>
        </w:tc>
      </w:tr>
      <w:tr w:rsidR="00E56A40" w:rsidRPr="00E56A40" w14:paraId="28C2ABAF"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678611F"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332DF7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luteolina</w:t>
            </w:r>
          </w:p>
        </w:tc>
        <w:tc>
          <w:tcPr>
            <w:tcW w:w="3225" w:type="dxa"/>
            <w:tcBorders>
              <w:top w:val="outset" w:sz="6" w:space="0" w:color="auto"/>
              <w:left w:val="outset" w:sz="6" w:space="0" w:color="auto"/>
              <w:bottom w:val="outset" w:sz="6" w:space="0" w:color="auto"/>
              <w:right w:val="outset" w:sz="6" w:space="0" w:color="auto"/>
            </w:tcBorders>
            <w:hideMark/>
          </w:tcPr>
          <w:p w14:paraId="41B3C61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[3]</w:t>
            </w:r>
          </w:p>
        </w:tc>
      </w:tr>
      <w:tr w:rsidR="00E56A40" w:rsidRPr="00E56A40" w14:paraId="4460CFB0"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F4117D0"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0F3B6C1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hydroksycynamonowy</w:t>
            </w:r>
          </w:p>
        </w:tc>
        <w:tc>
          <w:tcPr>
            <w:tcW w:w="3225" w:type="dxa"/>
            <w:tcBorders>
              <w:top w:val="outset" w:sz="6" w:space="0" w:color="auto"/>
              <w:left w:val="outset" w:sz="6" w:space="0" w:color="auto"/>
              <w:bottom w:val="outset" w:sz="6" w:space="0" w:color="auto"/>
              <w:right w:val="outset" w:sz="6" w:space="0" w:color="auto"/>
            </w:tcBorders>
            <w:hideMark/>
          </w:tcPr>
          <w:p w14:paraId="75AE8CE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[4]</w:t>
            </w:r>
          </w:p>
        </w:tc>
      </w:tr>
      <w:tr w:rsidR="00E56A40" w:rsidRPr="00E56A40" w14:paraId="14678A9B"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10C7551"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65FD913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syringynowy</w:t>
            </w:r>
          </w:p>
        </w:tc>
        <w:tc>
          <w:tcPr>
            <w:tcW w:w="3225" w:type="dxa"/>
            <w:tcBorders>
              <w:top w:val="outset" w:sz="6" w:space="0" w:color="auto"/>
              <w:left w:val="outset" w:sz="6" w:space="0" w:color="auto"/>
              <w:bottom w:val="outset" w:sz="6" w:space="0" w:color="auto"/>
              <w:right w:val="outset" w:sz="6" w:space="0" w:color="auto"/>
            </w:tcBorders>
            <w:hideMark/>
          </w:tcPr>
          <w:p w14:paraId="4BB907A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[6]</w:t>
            </w:r>
          </w:p>
        </w:tc>
      </w:tr>
      <w:tr w:rsidR="00E56A40" w:rsidRPr="00E56A40" w14:paraId="050183F8"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33D163A"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98A989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rutyna</w:t>
            </w:r>
          </w:p>
        </w:tc>
        <w:tc>
          <w:tcPr>
            <w:tcW w:w="3225" w:type="dxa"/>
            <w:tcBorders>
              <w:top w:val="outset" w:sz="6" w:space="0" w:color="auto"/>
              <w:left w:val="outset" w:sz="6" w:space="0" w:color="auto"/>
              <w:bottom w:val="outset" w:sz="6" w:space="0" w:color="auto"/>
              <w:right w:val="outset" w:sz="6" w:space="0" w:color="auto"/>
            </w:tcBorders>
            <w:hideMark/>
          </w:tcPr>
          <w:p w14:paraId="150BE94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[6], [7]</w:t>
            </w:r>
          </w:p>
        </w:tc>
      </w:tr>
      <w:tr w:rsidR="00E56A40" w:rsidRPr="00E56A40" w14:paraId="22959748"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6306A88"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2A73A80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wanilina</w:t>
            </w:r>
          </w:p>
        </w:tc>
        <w:tc>
          <w:tcPr>
            <w:tcW w:w="3225" w:type="dxa"/>
            <w:tcBorders>
              <w:top w:val="outset" w:sz="6" w:space="0" w:color="auto"/>
              <w:left w:val="outset" w:sz="6" w:space="0" w:color="auto"/>
              <w:bottom w:val="outset" w:sz="6" w:space="0" w:color="auto"/>
              <w:right w:val="outset" w:sz="6" w:space="0" w:color="auto"/>
            </w:tcBorders>
            <w:hideMark/>
          </w:tcPr>
          <w:p w14:paraId="3202702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[6]</w:t>
            </w:r>
          </w:p>
        </w:tc>
      </w:tr>
      <w:tr w:rsidR="00E56A40" w:rsidRPr="00E56A40" w14:paraId="50AE47B0"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FD97C72"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58812B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kwercetyna</w:t>
            </w:r>
          </w:p>
        </w:tc>
        <w:tc>
          <w:tcPr>
            <w:tcW w:w="3225" w:type="dxa"/>
            <w:tcBorders>
              <w:top w:val="outset" w:sz="6" w:space="0" w:color="auto"/>
              <w:left w:val="outset" w:sz="6" w:space="0" w:color="auto"/>
              <w:bottom w:val="outset" w:sz="6" w:space="0" w:color="auto"/>
              <w:right w:val="outset" w:sz="6" w:space="0" w:color="auto"/>
            </w:tcBorders>
            <w:hideMark/>
          </w:tcPr>
          <w:p w14:paraId="404275C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[6]</w:t>
            </w:r>
          </w:p>
        </w:tc>
      </w:tr>
      <w:tr w:rsidR="00E56A40" w:rsidRPr="00E56A40" w14:paraId="336351F0"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900FB56"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45B6E84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katechina</w:t>
            </w:r>
          </w:p>
        </w:tc>
        <w:tc>
          <w:tcPr>
            <w:tcW w:w="3225" w:type="dxa"/>
            <w:tcBorders>
              <w:top w:val="outset" w:sz="6" w:space="0" w:color="auto"/>
              <w:left w:val="outset" w:sz="6" w:space="0" w:color="auto"/>
              <w:bottom w:val="outset" w:sz="6" w:space="0" w:color="auto"/>
              <w:right w:val="outset" w:sz="6" w:space="0" w:color="auto"/>
            </w:tcBorders>
            <w:hideMark/>
          </w:tcPr>
          <w:p w14:paraId="14F919E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[6]</w:t>
            </w:r>
          </w:p>
        </w:tc>
      </w:tr>
      <w:tr w:rsidR="00E56A40" w:rsidRPr="00E56A40" w14:paraId="7847DE6A"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44B45AC"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6BC970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amygdalina</w:t>
            </w:r>
          </w:p>
        </w:tc>
        <w:tc>
          <w:tcPr>
            <w:tcW w:w="3225" w:type="dxa"/>
            <w:tcBorders>
              <w:top w:val="outset" w:sz="6" w:space="0" w:color="auto"/>
              <w:left w:val="outset" w:sz="6" w:space="0" w:color="auto"/>
              <w:bottom w:val="outset" w:sz="6" w:space="0" w:color="auto"/>
              <w:right w:val="outset" w:sz="6" w:space="0" w:color="auto"/>
            </w:tcBorders>
            <w:hideMark/>
          </w:tcPr>
          <w:p w14:paraId="1BFA9C3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[7]</w:t>
            </w:r>
          </w:p>
        </w:tc>
      </w:tr>
      <w:tr w:rsidR="00E56A40" w:rsidRPr="00E56A40" w14:paraId="65489CE5"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82C930C"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61122E0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taksyfolina (dihydrokwercetyna)</w:t>
            </w:r>
          </w:p>
        </w:tc>
        <w:tc>
          <w:tcPr>
            <w:tcW w:w="3225" w:type="dxa"/>
            <w:tcBorders>
              <w:top w:val="outset" w:sz="6" w:space="0" w:color="auto"/>
              <w:left w:val="outset" w:sz="6" w:space="0" w:color="auto"/>
              <w:bottom w:val="outset" w:sz="6" w:space="0" w:color="auto"/>
              <w:right w:val="outset" w:sz="6" w:space="0" w:color="auto"/>
            </w:tcBorders>
            <w:hideMark/>
          </w:tcPr>
          <w:p w14:paraId="117C36A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[7]</w:t>
            </w:r>
          </w:p>
        </w:tc>
      </w:tr>
      <w:tr w:rsidR="00E56A40" w:rsidRPr="00E56A40" w14:paraId="2EB5C8C9"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DB7F84D"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05BD662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sekundiflorol</w:t>
            </w:r>
          </w:p>
        </w:tc>
        <w:tc>
          <w:tcPr>
            <w:tcW w:w="3225" w:type="dxa"/>
            <w:tcBorders>
              <w:top w:val="outset" w:sz="6" w:space="0" w:color="auto"/>
              <w:left w:val="outset" w:sz="6" w:space="0" w:color="auto"/>
              <w:bottom w:val="outset" w:sz="6" w:space="0" w:color="auto"/>
              <w:right w:val="outset" w:sz="6" w:space="0" w:color="auto"/>
            </w:tcBorders>
            <w:hideMark/>
          </w:tcPr>
          <w:p w14:paraId="4E04F19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[5]</w:t>
            </w:r>
          </w:p>
        </w:tc>
      </w:tr>
      <w:tr w:rsidR="00E56A40" w:rsidRPr="00E56A40" w14:paraId="509032FF"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EE49C11"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7343F1D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mukronulatol</w:t>
            </w:r>
          </w:p>
        </w:tc>
        <w:tc>
          <w:tcPr>
            <w:tcW w:w="3225" w:type="dxa"/>
            <w:tcBorders>
              <w:top w:val="outset" w:sz="6" w:space="0" w:color="auto"/>
              <w:left w:val="outset" w:sz="6" w:space="0" w:color="auto"/>
              <w:bottom w:val="outset" w:sz="6" w:space="0" w:color="auto"/>
              <w:right w:val="outset" w:sz="6" w:space="0" w:color="auto"/>
            </w:tcBorders>
            <w:hideMark/>
          </w:tcPr>
          <w:p w14:paraId="10A2CC9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[5]</w:t>
            </w:r>
          </w:p>
        </w:tc>
      </w:tr>
      <w:tr w:rsidR="00E56A40" w:rsidRPr="00E56A40" w14:paraId="0D0ADFBF"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7012E90"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1364208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izomukronulatol</w:t>
            </w:r>
          </w:p>
        </w:tc>
        <w:tc>
          <w:tcPr>
            <w:tcW w:w="3225" w:type="dxa"/>
            <w:tcBorders>
              <w:top w:val="outset" w:sz="6" w:space="0" w:color="auto"/>
              <w:left w:val="outset" w:sz="6" w:space="0" w:color="auto"/>
              <w:bottom w:val="outset" w:sz="6" w:space="0" w:color="auto"/>
              <w:right w:val="outset" w:sz="6" w:space="0" w:color="auto"/>
            </w:tcBorders>
            <w:hideMark/>
          </w:tcPr>
          <w:p w14:paraId="0341C40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[5]</w:t>
            </w:r>
          </w:p>
        </w:tc>
      </w:tr>
      <w:tr w:rsidR="00E56A40" w:rsidRPr="00E56A40" w14:paraId="670613A0"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5365EA1"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41D938D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izowestitol</w:t>
            </w:r>
          </w:p>
        </w:tc>
        <w:tc>
          <w:tcPr>
            <w:tcW w:w="3225" w:type="dxa"/>
            <w:tcBorders>
              <w:top w:val="outset" w:sz="6" w:space="0" w:color="auto"/>
              <w:left w:val="outset" w:sz="6" w:space="0" w:color="auto"/>
              <w:bottom w:val="outset" w:sz="6" w:space="0" w:color="auto"/>
              <w:right w:val="outset" w:sz="6" w:space="0" w:color="auto"/>
            </w:tcBorders>
            <w:hideMark/>
          </w:tcPr>
          <w:p w14:paraId="4565A20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[5]</w:t>
            </w:r>
          </w:p>
        </w:tc>
      </w:tr>
    </w:tbl>
    <w:p w14:paraId="6F2BD197"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[1]</w:t>
      </w:r>
      <w:r w:rsidRPr="00FF4196">
        <w:rPr>
          <w:rFonts w:ascii="Times New Roman" w:eastAsia="Times New Roman" w:hAnsi="Times New Roman" w:cs="Times New Roman"/>
          <w:sz w:val="24"/>
          <w:szCs w:val="24"/>
          <w:lang w:val="en-US" w:eastAsia="pl-PL"/>
        </w:rPr>
        <w:t xml:space="preserve"> Sergent T., Kohnen S., Jourez B., Beauve C., Schneider Y-J., Vincke C., 2014. Characterization of black locust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L.) heartwood extractives: identification of resveratrol and piceatannol. Wood Science and Technology 48, 1005-1017.</w:t>
      </w:r>
    </w:p>
    <w:p w14:paraId="7F148058"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[2]</w:t>
      </w:r>
      <w:r w:rsidRPr="00FF4196">
        <w:rPr>
          <w:rFonts w:ascii="Times New Roman" w:eastAsia="Times New Roman" w:hAnsi="Times New Roman" w:cs="Times New Roman"/>
          <w:sz w:val="24"/>
          <w:szCs w:val="24"/>
          <w:lang w:val="en-US" w:eastAsia="pl-PL"/>
        </w:rPr>
        <w:t xml:space="preserve"> Bostyna S., Destandau E., Charpentierd J-P., Serranof V., Seigneuretf J-.M, Breton C., 2018. Optimization and kinetic modelling of robinetin and dihydrorobinetin extraction from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wood. Industrial Crops &amp; Products 126, 22-30.</w:t>
      </w:r>
    </w:p>
    <w:p w14:paraId="508C9EC9"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[3]</w:t>
      </w:r>
      <w:r w:rsidRPr="00FF4196">
        <w:rPr>
          <w:rFonts w:ascii="Times New Roman" w:eastAsia="Times New Roman" w:hAnsi="Times New Roman" w:cs="Times New Roman"/>
          <w:sz w:val="24"/>
          <w:szCs w:val="24"/>
          <w:lang w:val="en-US" w:eastAsia="pl-PL"/>
        </w:rPr>
        <w:t xml:space="preserve"> Veitch N.C., Elliott P.C., Kite G.C., Lewis G.P., 2010. Flavonoid glycosides of the black locust tree,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(Leguminosae). Phytochemistry 71, 479-486.</w:t>
      </w:r>
    </w:p>
    <w:p w14:paraId="3DB477BC"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[4]</w:t>
      </w:r>
      <w:r w:rsidRPr="00FF4196">
        <w:rPr>
          <w:rFonts w:ascii="Times New Roman" w:eastAsia="Times New Roman" w:hAnsi="Times New Roman" w:cs="Times New Roman"/>
          <w:sz w:val="24"/>
          <w:szCs w:val="24"/>
          <w:lang w:val="en-US" w:eastAsia="pl-PL"/>
        </w:rPr>
        <w:t xml:space="preserve"> Magell E., Jay-Allemand C., Ziegler H., 1994. Formation of heartwood substances in the stemwood of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L. II. Distribution of nonstructural carbohydrates and wood extractives across the trunk. Trees 8, 165-171.</w:t>
      </w:r>
    </w:p>
    <w:p w14:paraId="4F6244A8"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[5]</w:t>
      </w:r>
      <w:r w:rsidRPr="00FF4196">
        <w:rPr>
          <w:rFonts w:ascii="Times New Roman" w:eastAsia="Times New Roman" w:hAnsi="Times New Roman" w:cs="Times New Roman"/>
          <w:sz w:val="24"/>
          <w:szCs w:val="24"/>
          <w:lang w:val="en-US" w:eastAsia="pl-PL"/>
        </w:rPr>
        <w:t xml:space="preserve"> Tian F., McLaughlin J.L., 2000. Bioactive flavonoids from the black locust tree,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Pharm Biol. 38(3), 229-234.</w:t>
      </w:r>
    </w:p>
    <w:p w14:paraId="07F0C75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b/>
          <w:bCs/>
          <w:sz w:val="24"/>
          <w:szCs w:val="24"/>
          <w:lang w:val="en-US" w:eastAsia="pl-PL"/>
        </w:rPr>
        <w:t>[6]</w:t>
      </w:r>
      <w:r w:rsidRPr="00FF4196">
        <w:rPr>
          <w:rFonts w:ascii="Times New Roman" w:eastAsia="Times New Roman" w:hAnsi="Times New Roman" w:cs="Times New Roman"/>
          <w:sz w:val="24"/>
          <w:szCs w:val="24"/>
          <w:lang w:val="en-US" w:eastAsia="pl-PL"/>
        </w:rPr>
        <w:t xml:space="preserve"> Marinas I.C., Oprea E., Geana E.I., Chifiriuc C., Lazar V., 2014. Antimicrobial and antioxidant activity of the vegetative and reproductive organs of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w:t>
      </w:r>
      <w:r w:rsidRPr="00E56A40">
        <w:rPr>
          <w:rFonts w:ascii="Times New Roman" w:eastAsia="Times New Roman" w:hAnsi="Times New Roman" w:cs="Times New Roman"/>
          <w:sz w:val="24"/>
          <w:szCs w:val="24"/>
          <w:lang w:eastAsia="pl-PL"/>
        </w:rPr>
        <w:t>J. Serb. Chem. Soc. 79, 1363-1378.</w:t>
      </w:r>
    </w:p>
    <w:p w14:paraId="3B1AF93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[7]</w:t>
      </w:r>
      <w:r w:rsidRPr="00E56A40">
        <w:rPr>
          <w:rFonts w:ascii="Times New Roman" w:eastAsia="Times New Roman" w:hAnsi="Times New Roman" w:cs="Times New Roman"/>
          <w:sz w:val="24"/>
          <w:szCs w:val="24"/>
          <w:lang w:eastAsia="pl-PL"/>
        </w:rPr>
        <w:t xml:space="preserve"> Patra J.K., Kim E.S., Oh K., Kim H.J., Dhakal R., Kim Y., Baek K.H., 2015. </w:t>
      </w:r>
      <w:r w:rsidRPr="00FF4196">
        <w:rPr>
          <w:rFonts w:ascii="Times New Roman" w:eastAsia="Times New Roman" w:hAnsi="Times New Roman" w:cs="Times New Roman"/>
          <w:sz w:val="24"/>
          <w:szCs w:val="24"/>
          <w:lang w:val="en-US" w:eastAsia="pl-PL"/>
        </w:rPr>
        <w:t xml:space="preserve">Bactericidal effect of extracts and metabolites of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L. on </w:t>
      </w:r>
      <w:r w:rsidRPr="00FF4196">
        <w:rPr>
          <w:rFonts w:ascii="Times New Roman" w:eastAsia="Times New Roman" w:hAnsi="Times New Roman" w:cs="Times New Roman"/>
          <w:i/>
          <w:iCs/>
          <w:sz w:val="24"/>
          <w:szCs w:val="24"/>
          <w:lang w:val="en-US" w:eastAsia="pl-PL"/>
        </w:rPr>
        <w:t>Streptococcus</w:t>
      </w:r>
      <w:r w:rsidRPr="00FF4196">
        <w:rPr>
          <w:rFonts w:ascii="Times New Roman" w:eastAsia="Times New Roman" w:hAnsi="Times New Roman" w:cs="Times New Roman"/>
          <w:sz w:val="24"/>
          <w:szCs w:val="24"/>
          <w:lang w:val="en-US" w:eastAsia="pl-PL"/>
        </w:rPr>
        <w:t xml:space="preserve"> </w:t>
      </w:r>
      <w:r w:rsidRPr="00FF4196">
        <w:rPr>
          <w:rFonts w:ascii="Times New Roman" w:eastAsia="Times New Roman" w:hAnsi="Times New Roman" w:cs="Times New Roman"/>
          <w:i/>
          <w:iCs/>
          <w:sz w:val="24"/>
          <w:szCs w:val="24"/>
          <w:lang w:val="en-US" w:eastAsia="pl-PL"/>
        </w:rPr>
        <w:t xml:space="preserve">mutans </w:t>
      </w:r>
      <w:r w:rsidRPr="00FF4196">
        <w:rPr>
          <w:rFonts w:ascii="Times New Roman" w:eastAsia="Times New Roman" w:hAnsi="Times New Roman" w:cs="Times New Roman"/>
          <w:sz w:val="24"/>
          <w:szCs w:val="24"/>
          <w:lang w:val="en-US" w:eastAsia="pl-PL"/>
        </w:rPr>
        <w:t xml:space="preserve">and </w:t>
      </w:r>
      <w:r w:rsidRPr="00FF4196">
        <w:rPr>
          <w:rFonts w:ascii="Times New Roman" w:eastAsia="Times New Roman" w:hAnsi="Times New Roman" w:cs="Times New Roman"/>
          <w:i/>
          <w:iCs/>
          <w:sz w:val="24"/>
          <w:szCs w:val="24"/>
          <w:lang w:val="en-US" w:eastAsia="pl-PL"/>
        </w:rPr>
        <w:lastRenderedPageBreak/>
        <w:t>Porphyromonas gingivalis</w:t>
      </w:r>
      <w:r w:rsidRPr="00FF4196">
        <w:rPr>
          <w:rFonts w:ascii="Times New Roman" w:eastAsia="Times New Roman" w:hAnsi="Times New Roman" w:cs="Times New Roman"/>
          <w:sz w:val="24"/>
          <w:szCs w:val="24"/>
          <w:lang w:val="en-US" w:eastAsia="pl-PL"/>
        </w:rPr>
        <w:t xml:space="preserve"> causing dental plaque and periodontal inflammatory diseases. </w:t>
      </w:r>
      <w:r w:rsidRPr="00E56A40">
        <w:rPr>
          <w:rFonts w:ascii="Times New Roman" w:eastAsia="Times New Roman" w:hAnsi="Times New Roman" w:cs="Times New Roman"/>
          <w:sz w:val="24"/>
          <w:szCs w:val="24"/>
          <w:lang w:eastAsia="pl-PL"/>
        </w:rPr>
        <w:t>Molecules 20, 6128-6139.</w:t>
      </w:r>
    </w:p>
    <w:p w14:paraId="14D792D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93"/>
        <w:gridCol w:w="4798"/>
        <w:gridCol w:w="2465"/>
      </w:tblGrid>
      <w:tr w:rsidR="00E56A40" w:rsidRPr="00E56A40" w14:paraId="237A11AA" w14:textId="77777777" w:rsidTr="00E56A40">
        <w:trPr>
          <w:tblCellSpacing w:w="0" w:type="dxa"/>
        </w:trPr>
        <w:tc>
          <w:tcPr>
            <w:tcW w:w="2265" w:type="dxa"/>
            <w:tcBorders>
              <w:top w:val="outset" w:sz="6" w:space="0" w:color="auto"/>
              <w:left w:val="outset" w:sz="6" w:space="0" w:color="auto"/>
              <w:bottom w:val="outset" w:sz="6" w:space="0" w:color="auto"/>
              <w:right w:val="outset" w:sz="6" w:space="0" w:color="auto"/>
            </w:tcBorders>
            <w:hideMark/>
          </w:tcPr>
          <w:p w14:paraId="2D281B9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Biomasa</w:t>
            </w:r>
          </w:p>
        </w:tc>
        <w:tc>
          <w:tcPr>
            <w:tcW w:w="6030" w:type="dxa"/>
            <w:tcBorders>
              <w:top w:val="outset" w:sz="6" w:space="0" w:color="auto"/>
              <w:left w:val="outset" w:sz="6" w:space="0" w:color="auto"/>
              <w:bottom w:val="outset" w:sz="6" w:space="0" w:color="auto"/>
              <w:right w:val="outset" w:sz="6" w:space="0" w:color="auto"/>
            </w:tcBorders>
            <w:hideMark/>
          </w:tcPr>
          <w:p w14:paraId="76B83F0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Związek chemiczny</w:t>
            </w:r>
          </w:p>
        </w:tc>
        <w:tc>
          <w:tcPr>
            <w:tcW w:w="3225" w:type="dxa"/>
            <w:tcBorders>
              <w:top w:val="outset" w:sz="6" w:space="0" w:color="auto"/>
              <w:left w:val="outset" w:sz="6" w:space="0" w:color="auto"/>
              <w:bottom w:val="outset" w:sz="6" w:space="0" w:color="auto"/>
              <w:right w:val="outset" w:sz="6" w:space="0" w:color="auto"/>
            </w:tcBorders>
            <w:hideMark/>
          </w:tcPr>
          <w:p w14:paraId="15561BE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Literatura</w:t>
            </w:r>
          </w:p>
        </w:tc>
      </w:tr>
      <w:tr w:rsidR="00E56A40" w:rsidRPr="00E56A40" w14:paraId="0F875294" w14:textId="77777777" w:rsidTr="00E56A40">
        <w:trPr>
          <w:tblCellSpacing w:w="0" w:type="dxa"/>
        </w:trPr>
        <w:tc>
          <w:tcPr>
            <w:tcW w:w="2265" w:type="dxa"/>
            <w:vMerge w:val="restart"/>
            <w:tcBorders>
              <w:top w:val="outset" w:sz="6" w:space="0" w:color="auto"/>
              <w:left w:val="outset" w:sz="6" w:space="0" w:color="auto"/>
              <w:bottom w:val="outset" w:sz="6" w:space="0" w:color="auto"/>
              <w:right w:val="outset" w:sz="6" w:space="0" w:color="auto"/>
            </w:tcBorders>
            <w:hideMark/>
          </w:tcPr>
          <w:p w14:paraId="1D0473F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4EE0751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13F9927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6875545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7830AD3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7E73337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Salix purpurea</w:t>
            </w:r>
          </w:p>
        </w:tc>
        <w:tc>
          <w:tcPr>
            <w:tcW w:w="6030" w:type="dxa"/>
            <w:tcBorders>
              <w:top w:val="outset" w:sz="6" w:space="0" w:color="auto"/>
              <w:left w:val="outset" w:sz="6" w:space="0" w:color="auto"/>
              <w:bottom w:val="outset" w:sz="6" w:space="0" w:color="auto"/>
              <w:right w:val="outset" w:sz="6" w:space="0" w:color="auto"/>
            </w:tcBorders>
            <w:hideMark/>
          </w:tcPr>
          <w:p w14:paraId="248A0D2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salicyna</w:t>
            </w:r>
          </w:p>
        </w:tc>
        <w:tc>
          <w:tcPr>
            <w:tcW w:w="3225" w:type="dxa"/>
            <w:tcBorders>
              <w:top w:val="outset" w:sz="6" w:space="0" w:color="auto"/>
              <w:left w:val="outset" w:sz="6" w:space="0" w:color="auto"/>
              <w:bottom w:val="outset" w:sz="6" w:space="0" w:color="auto"/>
              <w:right w:val="outset" w:sz="6" w:space="0" w:color="auto"/>
            </w:tcBorders>
            <w:hideMark/>
          </w:tcPr>
          <w:p w14:paraId="5F27A8E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[2], [5], [7], [9]</w:t>
            </w:r>
          </w:p>
        </w:tc>
      </w:tr>
      <w:tr w:rsidR="00E56A40" w:rsidRPr="00E56A40" w14:paraId="3EBF5EA7"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577B522"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6C6CAA1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salikortyna</w:t>
            </w:r>
          </w:p>
        </w:tc>
        <w:tc>
          <w:tcPr>
            <w:tcW w:w="3225" w:type="dxa"/>
            <w:tcBorders>
              <w:top w:val="outset" w:sz="6" w:space="0" w:color="auto"/>
              <w:left w:val="outset" w:sz="6" w:space="0" w:color="auto"/>
              <w:bottom w:val="outset" w:sz="6" w:space="0" w:color="auto"/>
              <w:right w:val="outset" w:sz="6" w:space="0" w:color="auto"/>
            </w:tcBorders>
            <w:hideMark/>
          </w:tcPr>
          <w:p w14:paraId="1FC7602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[2], [5], [7], [9]</w:t>
            </w:r>
          </w:p>
        </w:tc>
      </w:tr>
      <w:tr w:rsidR="00E56A40" w:rsidRPr="00E56A40" w14:paraId="124F5CB7"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E9EFAE4"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440BEEF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salirepozyd</w:t>
            </w:r>
          </w:p>
        </w:tc>
        <w:tc>
          <w:tcPr>
            <w:tcW w:w="3225" w:type="dxa"/>
            <w:tcBorders>
              <w:top w:val="outset" w:sz="6" w:space="0" w:color="auto"/>
              <w:left w:val="outset" w:sz="6" w:space="0" w:color="auto"/>
              <w:bottom w:val="outset" w:sz="6" w:space="0" w:color="auto"/>
              <w:right w:val="outset" w:sz="6" w:space="0" w:color="auto"/>
            </w:tcBorders>
            <w:hideMark/>
          </w:tcPr>
          <w:p w14:paraId="18DA85E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[9]</w:t>
            </w:r>
          </w:p>
        </w:tc>
      </w:tr>
      <w:tr w:rsidR="00E56A40" w:rsidRPr="00E56A40" w14:paraId="008020FE"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9A486A4"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07CDF0D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tremulacyna</w:t>
            </w:r>
          </w:p>
        </w:tc>
        <w:tc>
          <w:tcPr>
            <w:tcW w:w="3225" w:type="dxa"/>
            <w:tcBorders>
              <w:top w:val="outset" w:sz="6" w:space="0" w:color="auto"/>
              <w:left w:val="outset" w:sz="6" w:space="0" w:color="auto"/>
              <w:bottom w:val="outset" w:sz="6" w:space="0" w:color="auto"/>
              <w:right w:val="outset" w:sz="6" w:space="0" w:color="auto"/>
            </w:tcBorders>
            <w:hideMark/>
          </w:tcPr>
          <w:p w14:paraId="029DF30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 [5], [7]</w:t>
            </w:r>
          </w:p>
        </w:tc>
      </w:tr>
      <w:tr w:rsidR="00E56A40" w:rsidRPr="00E56A40" w14:paraId="079B8D98"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E7E6985"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62A2FB7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populina</w:t>
            </w:r>
          </w:p>
        </w:tc>
        <w:tc>
          <w:tcPr>
            <w:tcW w:w="3225" w:type="dxa"/>
            <w:tcBorders>
              <w:top w:val="outset" w:sz="6" w:space="0" w:color="auto"/>
              <w:left w:val="outset" w:sz="6" w:space="0" w:color="auto"/>
              <w:bottom w:val="outset" w:sz="6" w:space="0" w:color="auto"/>
              <w:right w:val="outset" w:sz="6" w:space="0" w:color="auto"/>
            </w:tcBorders>
            <w:hideMark/>
          </w:tcPr>
          <w:p w14:paraId="2195B70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[7]</w:t>
            </w:r>
          </w:p>
        </w:tc>
      </w:tr>
      <w:tr w:rsidR="00E56A40" w:rsidRPr="00E56A40" w14:paraId="2E507949"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593B1F8"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3E1F685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piceina</w:t>
            </w:r>
          </w:p>
        </w:tc>
        <w:tc>
          <w:tcPr>
            <w:tcW w:w="3225" w:type="dxa"/>
            <w:tcBorders>
              <w:top w:val="outset" w:sz="6" w:space="0" w:color="auto"/>
              <w:left w:val="outset" w:sz="6" w:space="0" w:color="auto"/>
              <w:bottom w:val="outset" w:sz="6" w:space="0" w:color="auto"/>
              <w:right w:val="outset" w:sz="6" w:space="0" w:color="auto"/>
            </w:tcBorders>
            <w:hideMark/>
          </w:tcPr>
          <w:p w14:paraId="55F18A3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[7]</w:t>
            </w:r>
          </w:p>
        </w:tc>
      </w:tr>
      <w:tr w:rsidR="00E56A40" w:rsidRPr="00E56A40" w14:paraId="787F92AE"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049B16C"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0628562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fragilina (6-O-acetylosalicyna)</w:t>
            </w:r>
          </w:p>
        </w:tc>
        <w:tc>
          <w:tcPr>
            <w:tcW w:w="3225" w:type="dxa"/>
            <w:tcBorders>
              <w:top w:val="outset" w:sz="6" w:space="0" w:color="auto"/>
              <w:left w:val="outset" w:sz="6" w:space="0" w:color="auto"/>
              <w:bottom w:val="outset" w:sz="6" w:space="0" w:color="auto"/>
              <w:right w:val="outset" w:sz="6" w:space="0" w:color="auto"/>
            </w:tcBorders>
            <w:hideMark/>
          </w:tcPr>
          <w:p w14:paraId="547DC87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[5]</w:t>
            </w:r>
          </w:p>
        </w:tc>
      </w:tr>
      <w:tr w:rsidR="00E56A40" w:rsidRPr="00E56A40" w14:paraId="50ED0A25"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12B122C"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7C6510A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grandydentatyna (2-O-cynamylosalicyna)</w:t>
            </w:r>
          </w:p>
        </w:tc>
        <w:tc>
          <w:tcPr>
            <w:tcW w:w="3225" w:type="dxa"/>
            <w:tcBorders>
              <w:top w:val="outset" w:sz="6" w:space="0" w:color="auto"/>
              <w:left w:val="outset" w:sz="6" w:space="0" w:color="auto"/>
              <w:bottom w:val="outset" w:sz="6" w:space="0" w:color="auto"/>
              <w:right w:val="outset" w:sz="6" w:space="0" w:color="auto"/>
            </w:tcBorders>
            <w:hideMark/>
          </w:tcPr>
          <w:p w14:paraId="4C3CBB5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[9]</w:t>
            </w:r>
          </w:p>
        </w:tc>
      </w:tr>
      <w:tr w:rsidR="00E56A40" w:rsidRPr="00E56A40" w14:paraId="7F72BAC9"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0AB1717"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2EA1AB8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salipurpozyd (5-O-glukozyd naryngeniny)</w:t>
            </w:r>
          </w:p>
        </w:tc>
        <w:tc>
          <w:tcPr>
            <w:tcW w:w="3225" w:type="dxa"/>
            <w:tcBorders>
              <w:top w:val="outset" w:sz="6" w:space="0" w:color="auto"/>
              <w:left w:val="outset" w:sz="6" w:space="0" w:color="auto"/>
              <w:bottom w:val="outset" w:sz="6" w:space="0" w:color="auto"/>
              <w:right w:val="outset" w:sz="6" w:space="0" w:color="auto"/>
            </w:tcBorders>
            <w:hideMark/>
          </w:tcPr>
          <w:p w14:paraId="0B3EB35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[2], [4], [7]</w:t>
            </w:r>
          </w:p>
        </w:tc>
      </w:tr>
      <w:tr w:rsidR="00E56A40" w:rsidRPr="00E56A40" w14:paraId="05B238D1"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F74BB56"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6C43B81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prunina (7-O-glukozyd naryngeniny)</w:t>
            </w:r>
          </w:p>
        </w:tc>
        <w:tc>
          <w:tcPr>
            <w:tcW w:w="3225" w:type="dxa"/>
            <w:tcBorders>
              <w:top w:val="outset" w:sz="6" w:space="0" w:color="auto"/>
              <w:left w:val="outset" w:sz="6" w:space="0" w:color="auto"/>
              <w:bottom w:val="outset" w:sz="6" w:space="0" w:color="auto"/>
              <w:right w:val="outset" w:sz="6" w:space="0" w:color="auto"/>
            </w:tcBorders>
            <w:hideMark/>
          </w:tcPr>
          <w:p w14:paraId="7CF95EA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 [4], [7]</w:t>
            </w:r>
          </w:p>
        </w:tc>
      </w:tr>
      <w:tr w:rsidR="00E56A40" w:rsidRPr="00E56A40" w14:paraId="1C74697D"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13A6A4B"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590C73D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naryngenina</w:t>
            </w:r>
          </w:p>
        </w:tc>
        <w:tc>
          <w:tcPr>
            <w:tcW w:w="3225" w:type="dxa"/>
            <w:tcBorders>
              <w:top w:val="outset" w:sz="6" w:space="0" w:color="auto"/>
              <w:left w:val="outset" w:sz="6" w:space="0" w:color="auto"/>
              <w:bottom w:val="outset" w:sz="6" w:space="0" w:color="auto"/>
              <w:right w:val="outset" w:sz="6" w:space="0" w:color="auto"/>
            </w:tcBorders>
            <w:hideMark/>
          </w:tcPr>
          <w:p w14:paraId="4DC512F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[3], [4], [7]</w:t>
            </w:r>
          </w:p>
        </w:tc>
      </w:tr>
      <w:tr w:rsidR="00E56A40" w:rsidRPr="00E56A40" w14:paraId="3794CEA1"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8FFB441"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44B3054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eriodykcjol</w:t>
            </w:r>
          </w:p>
        </w:tc>
        <w:tc>
          <w:tcPr>
            <w:tcW w:w="3225" w:type="dxa"/>
            <w:tcBorders>
              <w:top w:val="outset" w:sz="6" w:space="0" w:color="auto"/>
              <w:left w:val="outset" w:sz="6" w:space="0" w:color="auto"/>
              <w:bottom w:val="outset" w:sz="6" w:space="0" w:color="auto"/>
              <w:right w:val="outset" w:sz="6" w:space="0" w:color="auto"/>
            </w:tcBorders>
            <w:hideMark/>
          </w:tcPr>
          <w:p w14:paraId="22DDF1D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[4]</w:t>
            </w:r>
          </w:p>
        </w:tc>
      </w:tr>
      <w:tr w:rsidR="00E56A40" w:rsidRPr="00E56A40" w14:paraId="5C7E2ACE"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2C7CF6D"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266D79B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izosalipurpozyd</w:t>
            </w:r>
          </w:p>
        </w:tc>
        <w:tc>
          <w:tcPr>
            <w:tcW w:w="3225" w:type="dxa"/>
            <w:tcBorders>
              <w:top w:val="outset" w:sz="6" w:space="0" w:color="auto"/>
              <w:left w:val="outset" w:sz="6" w:space="0" w:color="auto"/>
              <w:bottom w:val="outset" w:sz="6" w:space="0" w:color="auto"/>
              <w:right w:val="outset" w:sz="6" w:space="0" w:color="auto"/>
            </w:tcBorders>
            <w:hideMark/>
          </w:tcPr>
          <w:p w14:paraId="50E42C2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[4], [7]</w:t>
            </w:r>
          </w:p>
        </w:tc>
      </w:tr>
      <w:tr w:rsidR="00E56A40" w:rsidRPr="00E56A40" w14:paraId="36E7D4F6"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F3D16D8"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15A25FE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kwercetyna/izokwercetyna</w:t>
            </w:r>
          </w:p>
        </w:tc>
        <w:tc>
          <w:tcPr>
            <w:tcW w:w="3225" w:type="dxa"/>
            <w:tcBorders>
              <w:top w:val="outset" w:sz="6" w:space="0" w:color="auto"/>
              <w:left w:val="outset" w:sz="6" w:space="0" w:color="auto"/>
              <w:bottom w:val="outset" w:sz="6" w:space="0" w:color="auto"/>
              <w:right w:val="outset" w:sz="6" w:space="0" w:color="auto"/>
            </w:tcBorders>
            <w:hideMark/>
          </w:tcPr>
          <w:p w14:paraId="11459EC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[3]</w:t>
            </w:r>
          </w:p>
        </w:tc>
      </w:tr>
      <w:tr w:rsidR="00E56A40" w:rsidRPr="00E56A40" w14:paraId="269EA180"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6E1B775"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4C47F86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mirycetyna (liście)</w:t>
            </w:r>
          </w:p>
        </w:tc>
        <w:tc>
          <w:tcPr>
            <w:tcW w:w="3225" w:type="dxa"/>
            <w:tcBorders>
              <w:top w:val="outset" w:sz="6" w:space="0" w:color="auto"/>
              <w:left w:val="outset" w:sz="6" w:space="0" w:color="auto"/>
              <w:bottom w:val="outset" w:sz="6" w:space="0" w:color="auto"/>
              <w:right w:val="outset" w:sz="6" w:space="0" w:color="auto"/>
            </w:tcBorders>
            <w:hideMark/>
          </w:tcPr>
          <w:p w14:paraId="0010FBF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[10]</w:t>
            </w:r>
          </w:p>
        </w:tc>
      </w:tr>
      <w:tr w:rsidR="00E56A40" w:rsidRPr="00E56A40" w14:paraId="17B965B4"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EA66785"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40DE2D6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katechina i jej pochodne (epikatechina, galusan katechniny, galokatechina)</w:t>
            </w:r>
          </w:p>
        </w:tc>
        <w:tc>
          <w:tcPr>
            <w:tcW w:w="3225" w:type="dxa"/>
            <w:tcBorders>
              <w:top w:val="outset" w:sz="6" w:space="0" w:color="auto"/>
              <w:left w:val="outset" w:sz="6" w:space="0" w:color="auto"/>
              <w:bottom w:val="outset" w:sz="6" w:space="0" w:color="auto"/>
              <w:right w:val="outset" w:sz="6" w:space="0" w:color="auto"/>
            </w:tcBorders>
            <w:hideMark/>
          </w:tcPr>
          <w:p w14:paraId="2680012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[3]</w:t>
            </w:r>
          </w:p>
        </w:tc>
      </w:tr>
      <w:tr w:rsidR="00E56A40" w:rsidRPr="00E56A40" w14:paraId="79A0BB41"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E7F5BC5"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36F062F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chlorogenowy</w:t>
            </w:r>
          </w:p>
        </w:tc>
        <w:tc>
          <w:tcPr>
            <w:tcW w:w="3225" w:type="dxa"/>
            <w:tcBorders>
              <w:top w:val="outset" w:sz="6" w:space="0" w:color="auto"/>
              <w:left w:val="outset" w:sz="6" w:space="0" w:color="auto"/>
              <w:bottom w:val="outset" w:sz="6" w:space="0" w:color="auto"/>
              <w:right w:val="outset" w:sz="6" w:space="0" w:color="auto"/>
            </w:tcBorders>
            <w:hideMark/>
          </w:tcPr>
          <w:p w14:paraId="3F10913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[3]</w:t>
            </w:r>
          </w:p>
        </w:tc>
      </w:tr>
      <w:tr w:rsidR="00E56A40" w:rsidRPr="00E56A40" w14:paraId="7DE9E2A9"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63CB49C"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01E9923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p-hydroksybenzoesowy</w:t>
            </w:r>
          </w:p>
        </w:tc>
        <w:tc>
          <w:tcPr>
            <w:tcW w:w="3225" w:type="dxa"/>
            <w:tcBorders>
              <w:top w:val="outset" w:sz="6" w:space="0" w:color="auto"/>
              <w:left w:val="outset" w:sz="6" w:space="0" w:color="auto"/>
              <w:bottom w:val="outset" w:sz="6" w:space="0" w:color="auto"/>
              <w:right w:val="outset" w:sz="6" w:space="0" w:color="auto"/>
            </w:tcBorders>
            <w:hideMark/>
          </w:tcPr>
          <w:p w14:paraId="789B6E7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[12]</w:t>
            </w:r>
          </w:p>
        </w:tc>
      </w:tr>
      <w:tr w:rsidR="00E56A40" w:rsidRPr="00E56A40" w14:paraId="73FC71D8"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0A961E9"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4D1DEC8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wanilinowy (liście)</w:t>
            </w:r>
          </w:p>
        </w:tc>
        <w:tc>
          <w:tcPr>
            <w:tcW w:w="3225" w:type="dxa"/>
            <w:tcBorders>
              <w:top w:val="outset" w:sz="6" w:space="0" w:color="auto"/>
              <w:left w:val="outset" w:sz="6" w:space="0" w:color="auto"/>
              <w:bottom w:val="outset" w:sz="6" w:space="0" w:color="auto"/>
              <w:right w:val="outset" w:sz="6" w:space="0" w:color="auto"/>
            </w:tcBorders>
            <w:hideMark/>
          </w:tcPr>
          <w:p w14:paraId="1006E7E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[10]</w:t>
            </w:r>
          </w:p>
        </w:tc>
      </w:tr>
      <w:tr w:rsidR="00E56A40" w:rsidRPr="00E56A40" w14:paraId="0BAFC243"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6A86A40"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7600D99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synapinowy (liście)</w:t>
            </w:r>
          </w:p>
        </w:tc>
        <w:tc>
          <w:tcPr>
            <w:tcW w:w="3225" w:type="dxa"/>
            <w:tcBorders>
              <w:top w:val="outset" w:sz="6" w:space="0" w:color="auto"/>
              <w:left w:val="outset" w:sz="6" w:space="0" w:color="auto"/>
              <w:bottom w:val="outset" w:sz="6" w:space="0" w:color="auto"/>
              <w:right w:val="outset" w:sz="6" w:space="0" w:color="auto"/>
            </w:tcBorders>
            <w:hideMark/>
          </w:tcPr>
          <w:p w14:paraId="19A9370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[10]</w:t>
            </w:r>
          </w:p>
        </w:tc>
      </w:tr>
      <w:tr w:rsidR="00E56A40" w:rsidRPr="00E56A40" w14:paraId="2C15CFA9"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0BC2DD9"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7E37CFC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p-kumarowy</w:t>
            </w:r>
          </w:p>
        </w:tc>
        <w:tc>
          <w:tcPr>
            <w:tcW w:w="3225" w:type="dxa"/>
            <w:tcBorders>
              <w:top w:val="outset" w:sz="6" w:space="0" w:color="auto"/>
              <w:left w:val="outset" w:sz="6" w:space="0" w:color="auto"/>
              <w:bottom w:val="outset" w:sz="6" w:space="0" w:color="auto"/>
              <w:right w:val="outset" w:sz="6" w:space="0" w:color="auto"/>
            </w:tcBorders>
            <w:hideMark/>
          </w:tcPr>
          <w:p w14:paraId="3E2BA99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[3], [4]</w:t>
            </w:r>
          </w:p>
        </w:tc>
      </w:tr>
      <w:tr w:rsidR="00E56A40" w:rsidRPr="00E56A40" w14:paraId="5FFC840D"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BCC5D03"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4A19150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ferulowy (liście)</w:t>
            </w:r>
          </w:p>
        </w:tc>
        <w:tc>
          <w:tcPr>
            <w:tcW w:w="3225" w:type="dxa"/>
            <w:tcBorders>
              <w:top w:val="outset" w:sz="6" w:space="0" w:color="auto"/>
              <w:left w:val="outset" w:sz="6" w:space="0" w:color="auto"/>
              <w:bottom w:val="outset" w:sz="6" w:space="0" w:color="auto"/>
              <w:right w:val="outset" w:sz="6" w:space="0" w:color="auto"/>
            </w:tcBorders>
            <w:hideMark/>
          </w:tcPr>
          <w:p w14:paraId="3F489EA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[10]</w:t>
            </w:r>
          </w:p>
        </w:tc>
      </w:tr>
      <w:tr w:rsidR="00E56A40" w:rsidRPr="00E56A40" w14:paraId="11C76A95"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562D6D0"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6BD7DF9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cynamonowy</w:t>
            </w:r>
          </w:p>
        </w:tc>
        <w:tc>
          <w:tcPr>
            <w:tcW w:w="3225" w:type="dxa"/>
            <w:tcBorders>
              <w:top w:val="outset" w:sz="6" w:space="0" w:color="auto"/>
              <w:left w:val="outset" w:sz="6" w:space="0" w:color="auto"/>
              <w:bottom w:val="outset" w:sz="6" w:space="0" w:color="auto"/>
              <w:right w:val="outset" w:sz="6" w:space="0" w:color="auto"/>
            </w:tcBorders>
            <w:hideMark/>
          </w:tcPr>
          <w:p w14:paraId="53A8E78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[3]</w:t>
            </w:r>
          </w:p>
        </w:tc>
      </w:tr>
      <w:tr w:rsidR="00E56A40" w:rsidRPr="00E56A40" w14:paraId="30AD21A8"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A509A9D"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7148539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pirokatechol</w:t>
            </w:r>
          </w:p>
        </w:tc>
        <w:tc>
          <w:tcPr>
            <w:tcW w:w="3225" w:type="dxa"/>
            <w:tcBorders>
              <w:top w:val="outset" w:sz="6" w:space="0" w:color="auto"/>
              <w:left w:val="outset" w:sz="6" w:space="0" w:color="auto"/>
              <w:bottom w:val="outset" w:sz="6" w:space="0" w:color="auto"/>
              <w:right w:val="outset" w:sz="6" w:space="0" w:color="auto"/>
            </w:tcBorders>
            <w:hideMark/>
          </w:tcPr>
          <w:p w14:paraId="7EBCEBC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[2]</w:t>
            </w:r>
          </w:p>
        </w:tc>
      </w:tr>
      <w:tr w:rsidR="00E56A40" w:rsidRPr="00E56A40" w14:paraId="763037B2" w14:textId="77777777" w:rsidTr="00E56A40">
        <w:trPr>
          <w:tblCellSpacing w:w="0" w:type="dxa"/>
        </w:trPr>
        <w:tc>
          <w:tcPr>
            <w:tcW w:w="2265" w:type="dxa"/>
            <w:vMerge w:val="restart"/>
            <w:tcBorders>
              <w:top w:val="outset" w:sz="6" w:space="0" w:color="auto"/>
              <w:left w:val="outset" w:sz="6" w:space="0" w:color="auto"/>
              <w:bottom w:val="outset" w:sz="6" w:space="0" w:color="auto"/>
              <w:right w:val="outset" w:sz="6" w:space="0" w:color="auto"/>
            </w:tcBorders>
            <w:hideMark/>
          </w:tcPr>
          <w:p w14:paraId="7CF0FC1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 </w:t>
            </w:r>
          </w:p>
          <w:p w14:paraId="4403612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 </w:t>
            </w:r>
          </w:p>
          <w:p w14:paraId="50B2357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 </w:t>
            </w:r>
          </w:p>
          <w:p w14:paraId="5FBAB19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Salix viminalis</w:t>
            </w:r>
          </w:p>
        </w:tc>
        <w:tc>
          <w:tcPr>
            <w:tcW w:w="6030" w:type="dxa"/>
            <w:tcBorders>
              <w:top w:val="outset" w:sz="6" w:space="0" w:color="auto"/>
              <w:left w:val="outset" w:sz="6" w:space="0" w:color="auto"/>
              <w:bottom w:val="outset" w:sz="6" w:space="0" w:color="auto"/>
              <w:right w:val="outset" w:sz="6" w:space="0" w:color="auto"/>
            </w:tcBorders>
            <w:hideMark/>
          </w:tcPr>
          <w:p w14:paraId="183C862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triandryna</w:t>
            </w:r>
          </w:p>
        </w:tc>
        <w:tc>
          <w:tcPr>
            <w:tcW w:w="3225" w:type="dxa"/>
            <w:tcBorders>
              <w:top w:val="outset" w:sz="6" w:space="0" w:color="auto"/>
              <w:left w:val="outset" w:sz="6" w:space="0" w:color="auto"/>
              <w:bottom w:val="outset" w:sz="6" w:space="0" w:color="auto"/>
              <w:right w:val="outset" w:sz="6" w:space="0" w:color="auto"/>
            </w:tcBorders>
            <w:hideMark/>
          </w:tcPr>
          <w:p w14:paraId="64F3C09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 [6]</w:t>
            </w:r>
          </w:p>
        </w:tc>
      </w:tr>
      <w:tr w:rsidR="00E56A40" w:rsidRPr="00E56A40" w14:paraId="37FD050A"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2D59583"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46D5812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salicyna</w:t>
            </w:r>
          </w:p>
        </w:tc>
        <w:tc>
          <w:tcPr>
            <w:tcW w:w="3225" w:type="dxa"/>
            <w:tcBorders>
              <w:top w:val="outset" w:sz="6" w:space="0" w:color="auto"/>
              <w:left w:val="outset" w:sz="6" w:space="0" w:color="auto"/>
              <w:bottom w:val="outset" w:sz="6" w:space="0" w:color="auto"/>
              <w:right w:val="outset" w:sz="6" w:space="0" w:color="auto"/>
            </w:tcBorders>
            <w:hideMark/>
          </w:tcPr>
          <w:p w14:paraId="07C8A8B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[6]</w:t>
            </w:r>
          </w:p>
        </w:tc>
      </w:tr>
      <w:tr w:rsidR="00E56A40" w:rsidRPr="00E56A40" w14:paraId="116D8245"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0B72FF2"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0EB70C3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salikortyna</w:t>
            </w:r>
          </w:p>
        </w:tc>
        <w:tc>
          <w:tcPr>
            <w:tcW w:w="3225" w:type="dxa"/>
            <w:tcBorders>
              <w:top w:val="outset" w:sz="6" w:space="0" w:color="auto"/>
              <w:left w:val="outset" w:sz="6" w:space="0" w:color="auto"/>
              <w:bottom w:val="outset" w:sz="6" w:space="0" w:color="auto"/>
              <w:right w:val="outset" w:sz="6" w:space="0" w:color="auto"/>
            </w:tcBorders>
            <w:hideMark/>
          </w:tcPr>
          <w:p w14:paraId="1F5B6CE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[6]</w:t>
            </w:r>
          </w:p>
        </w:tc>
      </w:tr>
      <w:tr w:rsidR="00E56A40" w:rsidRPr="00E56A40" w14:paraId="6D7B72D2"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12B5092"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65BEB56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piceina</w:t>
            </w:r>
          </w:p>
        </w:tc>
        <w:tc>
          <w:tcPr>
            <w:tcW w:w="3225" w:type="dxa"/>
            <w:tcBorders>
              <w:top w:val="outset" w:sz="6" w:space="0" w:color="auto"/>
              <w:left w:val="outset" w:sz="6" w:space="0" w:color="auto"/>
              <w:bottom w:val="outset" w:sz="6" w:space="0" w:color="auto"/>
              <w:right w:val="outset" w:sz="6" w:space="0" w:color="auto"/>
            </w:tcBorders>
            <w:hideMark/>
          </w:tcPr>
          <w:p w14:paraId="6042607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[6]</w:t>
            </w:r>
          </w:p>
        </w:tc>
      </w:tr>
      <w:tr w:rsidR="00E56A40" w:rsidRPr="00E56A40" w14:paraId="7F6D9A2B"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3F0C7F8"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37343B4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7-O-glukozyd apigeniny (liście)</w:t>
            </w:r>
          </w:p>
        </w:tc>
        <w:tc>
          <w:tcPr>
            <w:tcW w:w="3225" w:type="dxa"/>
            <w:tcBorders>
              <w:top w:val="outset" w:sz="6" w:space="0" w:color="auto"/>
              <w:left w:val="outset" w:sz="6" w:space="0" w:color="auto"/>
              <w:bottom w:val="outset" w:sz="6" w:space="0" w:color="auto"/>
              <w:right w:val="outset" w:sz="6" w:space="0" w:color="auto"/>
            </w:tcBorders>
            <w:hideMark/>
          </w:tcPr>
          <w:p w14:paraId="69D3DA6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[13]</w:t>
            </w:r>
          </w:p>
        </w:tc>
      </w:tr>
      <w:tr w:rsidR="00E56A40" w:rsidRPr="00E56A40" w14:paraId="6B8C18E6"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AC06925"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328E7E4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3-glukozyd izoramnetyny (liście)</w:t>
            </w:r>
          </w:p>
        </w:tc>
        <w:tc>
          <w:tcPr>
            <w:tcW w:w="3225" w:type="dxa"/>
            <w:tcBorders>
              <w:top w:val="outset" w:sz="6" w:space="0" w:color="auto"/>
              <w:left w:val="outset" w:sz="6" w:space="0" w:color="auto"/>
              <w:bottom w:val="outset" w:sz="6" w:space="0" w:color="auto"/>
              <w:right w:val="outset" w:sz="6" w:space="0" w:color="auto"/>
            </w:tcBorders>
            <w:hideMark/>
          </w:tcPr>
          <w:p w14:paraId="1F8FD28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[11], [13]</w:t>
            </w:r>
          </w:p>
        </w:tc>
      </w:tr>
      <w:tr w:rsidR="00E56A40" w:rsidRPr="00E56A40" w14:paraId="368BD06F"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8A40E90"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48CF907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3-O-(6´´-acetylo)-glukozyd izoramnetyny (liście)</w:t>
            </w:r>
          </w:p>
        </w:tc>
        <w:tc>
          <w:tcPr>
            <w:tcW w:w="3225" w:type="dxa"/>
            <w:tcBorders>
              <w:top w:val="outset" w:sz="6" w:space="0" w:color="auto"/>
              <w:left w:val="outset" w:sz="6" w:space="0" w:color="auto"/>
              <w:bottom w:val="outset" w:sz="6" w:space="0" w:color="auto"/>
              <w:right w:val="outset" w:sz="6" w:space="0" w:color="auto"/>
            </w:tcBorders>
            <w:hideMark/>
          </w:tcPr>
          <w:p w14:paraId="5DE508B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[11], [13]</w:t>
            </w:r>
          </w:p>
        </w:tc>
      </w:tr>
      <w:tr w:rsidR="00E56A40" w:rsidRPr="00E56A40" w14:paraId="416AFC4B"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CC81382"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12A12C4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mirycetyna (korzenie boczne, liście)</w:t>
            </w:r>
          </w:p>
        </w:tc>
        <w:tc>
          <w:tcPr>
            <w:tcW w:w="3225" w:type="dxa"/>
            <w:tcBorders>
              <w:top w:val="outset" w:sz="6" w:space="0" w:color="auto"/>
              <w:left w:val="outset" w:sz="6" w:space="0" w:color="auto"/>
              <w:bottom w:val="outset" w:sz="6" w:space="0" w:color="auto"/>
              <w:right w:val="outset" w:sz="6" w:space="0" w:color="auto"/>
            </w:tcBorders>
            <w:hideMark/>
          </w:tcPr>
          <w:p w14:paraId="4C2BA52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[8]</w:t>
            </w:r>
          </w:p>
        </w:tc>
      </w:tr>
      <w:tr w:rsidR="00E56A40" w:rsidRPr="00E56A40" w14:paraId="4D1A5551"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05D9526"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612FACB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p-hydroksybenzoesowy</w:t>
            </w:r>
          </w:p>
        </w:tc>
        <w:tc>
          <w:tcPr>
            <w:tcW w:w="3225" w:type="dxa"/>
            <w:tcBorders>
              <w:top w:val="outset" w:sz="6" w:space="0" w:color="auto"/>
              <w:left w:val="outset" w:sz="6" w:space="0" w:color="auto"/>
              <w:bottom w:val="outset" w:sz="6" w:space="0" w:color="auto"/>
              <w:right w:val="outset" w:sz="6" w:space="0" w:color="auto"/>
            </w:tcBorders>
            <w:hideMark/>
          </w:tcPr>
          <w:p w14:paraId="7D01E77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[12]</w:t>
            </w:r>
          </w:p>
        </w:tc>
      </w:tr>
      <w:tr w:rsidR="00E56A40" w:rsidRPr="00E56A40" w14:paraId="152754EC"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647D32E"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0C7D3B8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synapinowy</w:t>
            </w:r>
          </w:p>
        </w:tc>
        <w:tc>
          <w:tcPr>
            <w:tcW w:w="3225" w:type="dxa"/>
            <w:tcBorders>
              <w:top w:val="outset" w:sz="6" w:space="0" w:color="auto"/>
              <w:left w:val="outset" w:sz="6" w:space="0" w:color="auto"/>
              <w:bottom w:val="outset" w:sz="6" w:space="0" w:color="auto"/>
              <w:right w:val="outset" w:sz="6" w:space="0" w:color="auto"/>
            </w:tcBorders>
            <w:hideMark/>
          </w:tcPr>
          <w:p w14:paraId="3B610C7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[8]</w:t>
            </w:r>
          </w:p>
        </w:tc>
      </w:tr>
      <w:tr w:rsidR="00E56A40" w:rsidRPr="00E56A40" w14:paraId="2C5C6C71"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0F19D9B"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7037FBC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ferulowy (korzenie boczne, liście)</w:t>
            </w:r>
          </w:p>
        </w:tc>
        <w:tc>
          <w:tcPr>
            <w:tcW w:w="3225" w:type="dxa"/>
            <w:tcBorders>
              <w:top w:val="outset" w:sz="6" w:space="0" w:color="auto"/>
              <w:left w:val="outset" w:sz="6" w:space="0" w:color="auto"/>
              <w:bottom w:val="outset" w:sz="6" w:space="0" w:color="auto"/>
              <w:right w:val="outset" w:sz="6" w:space="0" w:color="auto"/>
            </w:tcBorders>
            <w:hideMark/>
          </w:tcPr>
          <w:p w14:paraId="2EC3E60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[8]</w:t>
            </w:r>
          </w:p>
        </w:tc>
      </w:tr>
      <w:tr w:rsidR="00E56A40" w:rsidRPr="00E56A40" w14:paraId="394C7377"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0B8F2FB"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024E6F6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chlorogenowy (korzenie boczne, liście)</w:t>
            </w:r>
          </w:p>
        </w:tc>
        <w:tc>
          <w:tcPr>
            <w:tcW w:w="3225" w:type="dxa"/>
            <w:tcBorders>
              <w:top w:val="outset" w:sz="6" w:space="0" w:color="auto"/>
              <w:left w:val="outset" w:sz="6" w:space="0" w:color="auto"/>
              <w:bottom w:val="outset" w:sz="6" w:space="0" w:color="auto"/>
              <w:right w:val="outset" w:sz="6" w:space="0" w:color="auto"/>
            </w:tcBorders>
            <w:hideMark/>
          </w:tcPr>
          <w:p w14:paraId="1614DC1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[8]</w:t>
            </w:r>
          </w:p>
        </w:tc>
      </w:tr>
      <w:tr w:rsidR="00E56A40" w:rsidRPr="00E56A40" w14:paraId="50E7F0A4"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4F6788B"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3E7B3DF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cynamonowy (korzenie boczne, liście)</w:t>
            </w:r>
          </w:p>
        </w:tc>
        <w:tc>
          <w:tcPr>
            <w:tcW w:w="3225" w:type="dxa"/>
            <w:tcBorders>
              <w:top w:val="outset" w:sz="6" w:space="0" w:color="auto"/>
              <w:left w:val="outset" w:sz="6" w:space="0" w:color="auto"/>
              <w:bottom w:val="outset" w:sz="6" w:space="0" w:color="auto"/>
              <w:right w:val="outset" w:sz="6" w:space="0" w:color="auto"/>
            </w:tcBorders>
            <w:hideMark/>
          </w:tcPr>
          <w:p w14:paraId="1904316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[8]</w:t>
            </w:r>
          </w:p>
        </w:tc>
      </w:tr>
      <w:tr w:rsidR="00E56A40" w:rsidRPr="00E56A40" w14:paraId="289F9538"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D07B491"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5BA71B9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protokatechowy</w:t>
            </w:r>
          </w:p>
        </w:tc>
        <w:tc>
          <w:tcPr>
            <w:tcW w:w="3225" w:type="dxa"/>
            <w:tcBorders>
              <w:top w:val="outset" w:sz="6" w:space="0" w:color="auto"/>
              <w:left w:val="outset" w:sz="6" w:space="0" w:color="auto"/>
              <w:bottom w:val="outset" w:sz="6" w:space="0" w:color="auto"/>
              <w:right w:val="outset" w:sz="6" w:space="0" w:color="auto"/>
            </w:tcBorders>
            <w:hideMark/>
          </w:tcPr>
          <w:p w14:paraId="34D9F52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[12]</w:t>
            </w:r>
          </w:p>
        </w:tc>
      </w:tr>
      <w:tr w:rsidR="00E56A40" w:rsidRPr="00E56A40" w14:paraId="5FF61867"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D2C3EF8"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7578575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dihydrokawowy</w:t>
            </w:r>
          </w:p>
        </w:tc>
        <w:tc>
          <w:tcPr>
            <w:tcW w:w="3225" w:type="dxa"/>
            <w:tcBorders>
              <w:top w:val="outset" w:sz="6" w:space="0" w:color="auto"/>
              <w:left w:val="outset" w:sz="6" w:space="0" w:color="auto"/>
              <w:bottom w:val="outset" w:sz="6" w:space="0" w:color="auto"/>
              <w:right w:val="outset" w:sz="6" w:space="0" w:color="auto"/>
            </w:tcBorders>
            <w:hideMark/>
          </w:tcPr>
          <w:p w14:paraId="24BC1EC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[12]</w:t>
            </w:r>
          </w:p>
        </w:tc>
      </w:tr>
      <w:tr w:rsidR="00E56A40" w:rsidRPr="00E56A40" w14:paraId="30C2BF91"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F130C45"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18CA9FA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wanilinowy (liście)</w:t>
            </w:r>
          </w:p>
        </w:tc>
        <w:tc>
          <w:tcPr>
            <w:tcW w:w="3225" w:type="dxa"/>
            <w:tcBorders>
              <w:top w:val="outset" w:sz="6" w:space="0" w:color="auto"/>
              <w:left w:val="outset" w:sz="6" w:space="0" w:color="auto"/>
              <w:bottom w:val="outset" w:sz="6" w:space="0" w:color="auto"/>
              <w:right w:val="outset" w:sz="6" w:space="0" w:color="auto"/>
            </w:tcBorders>
            <w:hideMark/>
          </w:tcPr>
          <w:p w14:paraId="305B11B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[8]</w:t>
            </w:r>
          </w:p>
        </w:tc>
      </w:tr>
      <w:tr w:rsidR="00E56A40" w:rsidRPr="00E56A40" w14:paraId="3949346C"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A3BF8B7"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6030" w:type="dxa"/>
            <w:tcBorders>
              <w:top w:val="outset" w:sz="6" w:space="0" w:color="auto"/>
              <w:left w:val="outset" w:sz="6" w:space="0" w:color="auto"/>
              <w:bottom w:val="outset" w:sz="6" w:space="0" w:color="auto"/>
              <w:right w:val="outset" w:sz="6" w:space="0" w:color="auto"/>
            </w:tcBorders>
            <w:hideMark/>
          </w:tcPr>
          <w:p w14:paraId="29C1528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kwercetyna/izokwercetyna (korzenie boczne, liście)</w:t>
            </w:r>
          </w:p>
        </w:tc>
        <w:tc>
          <w:tcPr>
            <w:tcW w:w="3225" w:type="dxa"/>
            <w:tcBorders>
              <w:top w:val="outset" w:sz="6" w:space="0" w:color="auto"/>
              <w:left w:val="outset" w:sz="6" w:space="0" w:color="auto"/>
              <w:bottom w:val="outset" w:sz="6" w:space="0" w:color="auto"/>
              <w:right w:val="outset" w:sz="6" w:space="0" w:color="auto"/>
            </w:tcBorders>
            <w:hideMark/>
          </w:tcPr>
          <w:p w14:paraId="7888F5C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[8], [13]</w:t>
            </w:r>
          </w:p>
        </w:tc>
      </w:tr>
    </w:tbl>
    <w:p w14:paraId="486CF35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b/>
          <w:bCs/>
          <w:sz w:val="24"/>
          <w:szCs w:val="24"/>
          <w:lang w:val="en-US" w:eastAsia="pl-PL"/>
        </w:rPr>
        <w:t xml:space="preserve">[1] </w:t>
      </w:r>
      <w:r w:rsidRPr="00FF4196">
        <w:rPr>
          <w:rFonts w:ascii="Times New Roman" w:eastAsia="Times New Roman" w:hAnsi="Times New Roman" w:cs="Times New Roman"/>
          <w:sz w:val="24"/>
          <w:szCs w:val="24"/>
          <w:lang w:val="en-US" w:eastAsia="pl-PL"/>
        </w:rPr>
        <w:t xml:space="preserve">Pearl I.A., Darling S.F., 1970. Phenolic extractives of </w:t>
      </w:r>
      <w:r w:rsidRPr="00FF4196">
        <w:rPr>
          <w:rFonts w:ascii="Times New Roman" w:eastAsia="Times New Roman" w:hAnsi="Times New Roman" w:cs="Times New Roman"/>
          <w:i/>
          <w:iCs/>
          <w:sz w:val="24"/>
          <w:szCs w:val="24"/>
          <w:lang w:val="en-US" w:eastAsia="pl-PL"/>
        </w:rPr>
        <w:t>Salix purpurea</w:t>
      </w:r>
      <w:r w:rsidRPr="00FF4196">
        <w:rPr>
          <w:rFonts w:ascii="Times New Roman" w:eastAsia="Times New Roman" w:hAnsi="Times New Roman" w:cs="Times New Roman"/>
          <w:sz w:val="24"/>
          <w:szCs w:val="24"/>
          <w:lang w:val="en-US" w:eastAsia="pl-PL"/>
        </w:rPr>
        <w:t xml:space="preserve"> bark. </w:t>
      </w:r>
      <w:r w:rsidRPr="00E56A40">
        <w:rPr>
          <w:rFonts w:ascii="Times New Roman" w:eastAsia="Times New Roman" w:hAnsi="Times New Roman" w:cs="Times New Roman"/>
          <w:sz w:val="24"/>
          <w:szCs w:val="24"/>
          <w:lang w:eastAsia="pl-PL"/>
        </w:rPr>
        <w:t>Phytochemistry 9, 1277-1281.</w:t>
      </w:r>
    </w:p>
    <w:p w14:paraId="16C138B7"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E56A40">
        <w:rPr>
          <w:rFonts w:ascii="Times New Roman" w:eastAsia="Times New Roman" w:hAnsi="Times New Roman" w:cs="Times New Roman"/>
          <w:b/>
          <w:bCs/>
          <w:sz w:val="24"/>
          <w:szCs w:val="24"/>
          <w:lang w:eastAsia="pl-PL"/>
        </w:rPr>
        <w:t>[2]</w:t>
      </w:r>
      <w:r w:rsidRPr="00E56A40">
        <w:rPr>
          <w:rFonts w:ascii="Times New Roman" w:eastAsia="Times New Roman" w:hAnsi="Times New Roman" w:cs="Times New Roman"/>
          <w:sz w:val="24"/>
          <w:szCs w:val="24"/>
          <w:lang w:eastAsia="pl-PL"/>
        </w:rPr>
        <w:t xml:space="preserve"> Pobłocka‐Olech L., van Nederkassel A.‐M., Heyden Y. V., Krauze‐Baranowska M., Glód D., Baczek T., 2007. </w:t>
      </w:r>
      <w:r w:rsidRPr="00FF4196">
        <w:rPr>
          <w:rFonts w:ascii="Times New Roman" w:eastAsia="Times New Roman" w:hAnsi="Times New Roman" w:cs="Times New Roman"/>
          <w:sz w:val="24"/>
          <w:szCs w:val="24"/>
          <w:lang w:val="en-US" w:eastAsia="pl-PL"/>
        </w:rPr>
        <w:t xml:space="preserve">Chromatographic analysis of salicylic compounds in different species of the genus </w:t>
      </w:r>
      <w:r w:rsidRPr="00FF4196">
        <w:rPr>
          <w:rFonts w:ascii="Times New Roman" w:eastAsia="Times New Roman" w:hAnsi="Times New Roman" w:cs="Times New Roman"/>
          <w:i/>
          <w:iCs/>
          <w:sz w:val="24"/>
          <w:szCs w:val="24"/>
          <w:lang w:val="en-US" w:eastAsia="pl-PL"/>
        </w:rPr>
        <w:t>Salix</w:t>
      </w:r>
      <w:r w:rsidRPr="00FF4196">
        <w:rPr>
          <w:rFonts w:ascii="Times New Roman" w:eastAsia="Times New Roman" w:hAnsi="Times New Roman" w:cs="Times New Roman"/>
          <w:sz w:val="24"/>
          <w:szCs w:val="24"/>
          <w:lang w:val="en-US" w:eastAsia="pl-PL"/>
        </w:rPr>
        <w:t>. J. Sep. Sci. 30, 2958-2966.</w:t>
      </w:r>
    </w:p>
    <w:p w14:paraId="0DA9769C"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[3]</w:t>
      </w:r>
      <w:r w:rsidRPr="00FF4196">
        <w:rPr>
          <w:rFonts w:ascii="Times New Roman" w:eastAsia="Times New Roman" w:hAnsi="Times New Roman" w:cs="Times New Roman"/>
          <w:sz w:val="24"/>
          <w:szCs w:val="24"/>
          <w:lang w:val="en-US" w:eastAsia="pl-PL"/>
        </w:rPr>
        <w:t xml:space="preserve"> Šefer E., Grujić-Letić N., Extraction and chemical characterization of purple willow (</w:t>
      </w:r>
      <w:r w:rsidRPr="00FF4196">
        <w:rPr>
          <w:rFonts w:ascii="Times New Roman" w:eastAsia="Times New Roman" w:hAnsi="Times New Roman" w:cs="Times New Roman"/>
          <w:i/>
          <w:iCs/>
          <w:sz w:val="24"/>
          <w:szCs w:val="24"/>
          <w:lang w:val="en-US" w:eastAsia="pl-PL"/>
        </w:rPr>
        <w:t>Salix purpurea L.</w:t>
      </w:r>
      <w:r w:rsidRPr="00FF4196">
        <w:rPr>
          <w:rFonts w:ascii="Times New Roman" w:eastAsia="Times New Roman" w:hAnsi="Times New Roman" w:cs="Times New Roman"/>
          <w:sz w:val="24"/>
          <w:szCs w:val="24"/>
          <w:lang w:val="en-US" w:eastAsia="pl-PL"/>
        </w:rPr>
        <w:t>).III International Congress “Food Technology, Quality and Safety” 2016.</w:t>
      </w:r>
    </w:p>
    <w:p w14:paraId="3938060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[4]</w:t>
      </w:r>
      <w:r w:rsidRPr="00FF4196">
        <w:rPr>
          <w:rFonts w:ascii="Times New Roman" w:eastAsia="Times New Roman" w:hAnsi="Times New Roman" w:cs="Times New Roman"/>
          <w:sz w:val="24"/>
          <w:szCs w:val="24"/>
          <w:lang w:val="en-US" w:eastAsia="pl-PL"/>
        </w:rPr>
        <w:t xml:space="preserve"> Freischmidta A., Jürgenliemka G., Krausa B., Okpanyi S.N.,  Müller J., Kelber O., Weiser D., Heilmann J., 2012. Contribution of flavonoids and catechol to the reduction of ICAM-1 expression in endothelial cells by a standardised Willow bark extract. Phytomedicine 19, 245-252.</w:t>
      </w:r>
    </w:p>
    <w:p w14:paraId="354B2B35"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[5]</w:t>
      </w:r>
      <w:r w:rsidRPr="00FF4196">
        <w:rPr>
          <w:rFonts w:ascii="Times New Roman" w:eastAsia="Times New Roman" w:hAnsi="Times New Roman" w:cs="Times New Roman"/>
          <w:sz w:val="24"/>
          <w:szCs w:val="24"/>
          <w:lang w:val="en-US" w:eastAsia="pl-PL"/>
        </w:rPr>
        <w:t xml:space="preserve"> Julkunen-Tiitto R., 1989. Phenolic constituents of Salix: a chemotaxonomic survey of further finnish species. Phytochem 28, 2115.</w:t>
      </w:r>
    </w:p>
    <w:p w14:paraId="1FC557B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b/>
          <w:bCs/>
          <w:sz w:val="24"/>
          <w:szCs w:val="24"/>
          <w:lang w:val="en-US" w:eastAsia="pl-PL"/>
        </w:rPr>
        <w:t>[6]</w:t>
      </w:r>
      <w:r w:rsidRPr="00FF4196">
        <w:rPr>
          <w:rFonts w:ascii="Times New Roman" w:eastAsia="Times New Roman" w:hAnsi="Times New Roman" w:cs="Times New Roman"/>
          <w:sz w:val="24"/>
          <w:szCs w:val="24"/>
          <w:lang w:val="en-US" w:eastAsia="pl-PL"/>
        </w:rPr>
        <w:t xml:space="preserve"> Julkunen-Titto R., 1985. Chemotaxonomical Screening Phenolic Glycosides in Northern Willow Twigs by Capillary Gas Chromatography. </w:t>
      </w:r>
      <w:r w:rsidRPr="00E56A40">
        <w:rPr>
          <w:rFonts w:ascii="Times New Roman" w:eastAsia="Times New Roman" w:hAnsi="Times New Roman" w:cs="Times New Roman"/>
          <w:sz w:val="24"/>
          <w:szCs w:val="24"/>
          <w:lang w:eastAsia="pl-PL"/>
        </w:rPr>
        <w:t>J. Chromatogr. 324, 129-39.</w:t>
      </w:r>
    </w:p>
    <w:p w14:paraId="70C3AC1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[7]</w:t>
      </w:r>
      <w:r w:rsidRPr="00E56A40">
        <w:rPr>
          <w:rFonts w:ascii="Times New Roman" w:eastAsia="Times New Roman" w:hAnsi="Times New Roman" w:cs="Times New Roman"/>
          <w:sz w:val="24"/>
          <w:szCs w:val="24"/>
          <w:lang w:eastAsia="pl-PL"/>
        </w:rPr>
        <w:t xml:space="preserve"> Sulima P., Krauze-Baranowska M., Przyborowski J.A., 2017. </w:t>
      </w:r>
      <w:r w:rsidRPr="00FF4196">
        <w:rPr>
          <w:rFonts w:ascii="Times New Roman" w:eastAsia="Times New Roman" w:hAnsi="Times New Roman" w:cs="Times New Roman"/>
          <w:sz w:val="24"/>
          <w:szCs w:val="24"/>
          <w:lang w:val="en-US" w:eastAsia="pl-PL"/>
        </w:rPr>
        <w:t xml:space="preserve">Variations in the chemical composition and content of salicylic glycosides in the bark of </w:t>
      </w:r>
      <w:r w:rsidRPr="00FF4196">
        <w:rPr>
          <w:rFonts w:ascii="Times New Roman" w:eastAsia="Times New Roman" w:hAnsi="Times New Roman" w:cs="Times New Roman"/>
          <w:i/>
          <w:iCs/>
          <w:sz w:val="24"/>
          <w:szCs w:val="24"/>
          <w:lang w:val="en-US" w:eastAsia="pl-PL"/>
        </w:rPr>
        <w:t>Salix purpurea</w:t>
      </w:r>
      <w:r w:rsidRPr="00FF4196">
        <w:rPr>
          <w:rFonts w:ascii="Times New Roman" w:eastAsia="Times New Roman" w:hAnsi="Times New Roman" w:cs="Times New Roman"/>
          <w:sz w:val="24"/>
          <w:szCs w:val="24"/>
          <w:lang w:val="en-US" w:eastAsia="pl-PL"/>
        </w:rPr>
        <w:t xml:space="preserve"> from natural locations and their significance for breeding. </w:t>
      </w:r>
      <w:r w:rsidRPr="00E56A40">
        <w:rPr>
          <w:rFonts w:ascii="Times New Roman" w:eastAsia="Times New Roman" w:hAnsi="Times New Roman" w:cs="Times New Roman"/>
          <w:sz w:val="24"/>
          <w:szCs w:val="24"/>
          <w:lang w:eastAsia="pl-PL"/>
        </w:rPr>
        <w:t>Fitoterapia 118, 118-125.</w:t>
      </w:r>
    </w:p>
    <w:p w14:paraId="1DAD3A82"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E56A40">
        <w:rPr>
          <w:rFonts w:ascii="Times New Roman" w:eastAsia="Times New Roman" w:hAnsi="Times New Roman" w:cs="Times New Roman"/>
          <w:b/>
          <w:bCs/>
          <w:sz w:val="24"/>
          <w:szCs w:val="24"/>
          <w:lang w:eastAsia="pl-PL"/>
        </w:rPr>
        <w:t>[8]</w:t>
      </w:r>
      <w:r w:rsidRPr="00E56A40">
        <w:rPr>
          <w:rFonts w:ascii="Times New Roman" w:eastAsia="Times New Roman" w:hAnsi="Times New Roman" w:cs="Times New Roman"/>
          <w:sz w:val="24"/>
          <w:szCs w:val="24"/>
          <w:lang w:eastAsia="pl-PL"/>
        </w:rPr>
        <w:t xml:space="preserve"> Mleczek M., Gąsecka M., Waliszewska B., Magdziak Z., Szostek M., Rutkowski P., Kaniuczak J., Zborowska M., Budzyńska S., Mleczek P., Niedzielski P., 2018. </w:t>
      </w:r>
      <w:r w:rsidRPr="00FF4196">
        <w:rPr>
          <w:rFonts w:ascii="Times New Roman" w:eastAsia="Times New Roman" w:hAnsi="Times New Roman" w:cs="Times New Roman"/>
          <w:i/>
          <w:iCs/>
          <w:sz w:val="24"/>
          <w:szCs w:val="24"/>
          <w:lang w:val="en-US" w:eastAsia="pl-PL"/>
        </w:rPr>
        <w:t>Salix viminalis</w:t>
      </w:r>
      <w:r w:rsidRPr="00FF4196">
        <w:rPr>
          <w:rFonts w:ascii="Times New Roman" w:eastAsia="Times New Roman" w:hAnsi="Times New Roman" w:cs="Times New Roman"/>
          <w:sz w:val="24"/>
          <w:szCs w:val="24"/>
          <w:lang w:val="en-US" w:eastAsia="pl-PL"/>
        </w:rPr>
        <w:t xml:space="preserve"> L. - A highly effective plant in phytoextraction of elements. Chemosphere 212, 67-78.</w:t>
      </w:r>
    </w:p>
    <w:p w14:paraId="19AA4C6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b/>
          <w:bCs/>
          <w:sz w:val="24"/>
          <w:szCs w:val="24"/>
          <w:lang w:val="en-US" w:eastAsia="pl-PL"/>
        </w:rPr>
        <w:t>[9]</w:t>
      </w:r>
      <w:r w:rsidRPr="00FF4196">
        <w:rPr>
          <w:rFonts w:ascii="Times New Roman" w:eastAsia="Times New Roman" w:hAnsi="Times New Roman" w:cs="Times New Roman"/>
          <w:sz w:val="24"/>
          <w:szCs w:val="24"/>
          <w:lang w:val="en-US" w:eastAsia="pl-PL"/>
        </w:rPr>
        <w:t xml:space="preserve"> Palo R.T., 1984. Distribution of birch (</w:t>
      </w:r>
      <w:r w:rsidRPr="00FF4196">
        <w:rPr>
          <w:rFonts w:ascii="Times New Roman" w:eastAsia="Times New Roman" w:hAnsi="Times New Roman" w:cs="Times New Roman"/>
          <w:i/>
          <w:iCs/>
          <w:sz w:val="24"/>
          <w:szCs w:val="24"/>
          <w:lang w:val="en-US" w:eastAsia="pl-PL"/>
        </w:rPr>
        <w:t>Betula</w:t>
      </w:r>
      <w:r w:rsidRPr="00FF4196">
        <w:rPr>
          <w:rFonts w:ascii="Times New Roman" w:eastAsia="Times New Roman" w:hAnsi="Times New Roman" w:cs="Times New Roman"/>
          <w:sz w:val="24"/>
          <w:szCs w:val="24"/>
          <w:lang w:val="en-US" w:eastAsia="pl-PL"/>
        </w:rPr>
        <w:t xml:space="preserve"> spp.), willow (</w:t>
      </w:r>
      <w:r w:rsidRPr="00FF4196">
        <w:rPr>
          <w:rFonts w:ascii="Times New Roman" w:eastAsia="Times New Roman" w:hAnsi="Times New Roman" w:cs="Times New Roman"/>
          <w:i/>
          <w:iCs/>
          <w:sz w:val="24"/>
          <w:szCs w:val="24"/>
          <w:lang w:val="en-US" w:eastAsia="pl-PL"/>
        </w:rPr>
        <w:t>Salix</w:t>
      </w:r>
      <w:r w:rsidRPr="00FF4196">
        <w:rPr>
          <w:rFonts w:ascii="Times New Roman" w:eastAsia="Times New Roman" w:hAnsi="Times New Roman" w:cs="Times New Roman"/>
          <w:sz w:val="24"/>
          <w:szCs w:val="24"/>
          <w:lang w:val="en-US" w:eastAsia="pl-PL"/>
        </w:rPr>
        <w:t xml:space="preserve"> spp.), and poplar (</w:t>
      </w:r>
      <w:r w:rsidRPr="00FF4196">
        <w:rPr>
          <w:rFonts w:ascii="Times New Roman" w:eastAsia="Times New Roman" w:hAnsi="Times New Roman" w:cs="Times New Roman"/>
          <w:i/>
          <w:iCs/>
          <w:sz w:val="24"/>
          <w:szCs w:val="24"/>
          <w:lang w:val="en-US" w:eastAsia="pl-PL"/>
        </w:rPr>
        <w:t>Populus</w:t>
      </w:r>
      <w:r w:rsidRPr="00FF4196">
        <w:rPr>
          <w:rFonts w:ascii="Times New Roman" w:eastAsia="Times New Roman" w:hAnsi="Times New Roman" w:cs="Times New Roman"/>
          <w:sz w:val="24"/>
          <w:szCs w:val="24"/>
          <w:lang w:val="en-US" w:eastAsia="pl-PL"/>
        </w:rPr>
        <w:t xml:space="preserve"> spp.) secondary metabolites and their potential role as chemical defense against herbivores. </w:t>
      </w:r>
      <w:r w:rsidRPr="00E56A40">
        <w:rPr>
          <w:rFonts w:ascii="Times New Roman" w:eastAsia="Times New Roman" w:hAnsi="Times New Roman" w:cs="Times New Roman"/>
          <w:sz w:val="24"/>
          <w:szCs w:val="24"/>
          <w:lang w:eastAsia="pl-PL"/>
        </w:rPr>
        <w:t>J. Chem. Ecol. 10, 499-520.</w:t>
      </w:r>
    </w:p>
    <w:p w14:paraId="354176E3"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E56A40">
        <w:rPr>
          <w:rFonts w:ascii="Times New Roman" w:eastAsia="Times New Roman" w:hAnsi="Times New Roman" w:cs="Times New Roman"/>
          <w:b/>
          <w:bCs/>
          <w:sz w:val="24"/>
          <w:szCs w:val="24"/>
          <w:lang w:eastAsia="pl-PL"/>
        </w:rPr>
        <w:t>[10]</w:t>
      </w:r>
      <w:r w:rsidRPr="00E56A40">
        <w:rPr>
          <w:rFonts w:ascii="Times New Roman" w:eastAsia="Times New Roman" w:hAnsi="Times New Roman" w:cs="Times New Roman"/>
          <w:sz w:val="24"/>
          <w:szCs w:val="24"/>
          <w:lang w:eastAsia="pl-PL"/>
        </w:rPr>
        <w:t xml:space="preserve"> Gąsecka M., Mleczek M., Jutrzenka A., Goliński P., Stuper-Szablewska K., 2017. </w:t>
      </w:r>
      <w:r w:rsidRPr="00FF4196">
        <w:rPr>
          <w:rFonts w:ascii="Times New Roman" w:eastAsia="Times New Roman" w:hAnsi="Times New Roman" w:cs="Times New Roman"/>
          <w:sz w:val="24"/>
          <w:szCs w:val="24"/>
          <w:lang w:val="en-US" w:eastAsia="pl-PL"/>
        </w:rPr>
        <w:t xml:space="preserve">Phenolic compounds in leaves of </w:t>
      </w:r>
      <w:r w:rsidRPr="00FF4196">
        <w:rPr>
          <w:rFonts w:ascii="Times New Roman" w:eastAsia="Times New Roman" w:hAnsi="Times New Roman" w:cs="Times New Roman"/>
          <w:i/>
          <w:iCs/>
          <w:sz w:val="24"/>
          <w:szCs w:val="24"/>
          <w:lang w:val="en-US" w:eastAsia="pl-PL"/>
        </w:rPr>
        <w:t>Salix</w:t>
      </w:r>
      <w:r w:rsidRPr="00FF4196">
        <w:rPr>
          <w:rFonts w:ascii="Times New Roman" w:eastAsia="Times New Roman" w:hAnsi="Times New Roman" w:cs="Times New Roman"/>
          <w:sz w:val="24"/>
          <w:szCs w:val="24"/>
          <w:lang w:val="en-US" w:eastAsia="pl-PL"/>
        </w:rPr>
        <w:t xml:space="preserve"> species and hybrids growing under different soil conditions. Chem. Ecol. 33, 196-212.</w:t>
      </w:r>
    </w:p>
    <w:p w14:paraId="2B7AC526"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[11]</w:t>
      </w:r>
      <w:r w:rsidRPr="00FF4196">
        <w:rPr>
          <w:rFonts w:ascii="Times New Roman" w:eastAsia="Times New Roman" w:hAnsi="Times New Roman" w:cs="Times New Roman"/>
          <w:sz w:val="24"/>
          <w:szCs w:val="24"/>
          <w:lang w:val="en-US" w:eastAsia="pl-PL"/>
        </w:rPr>
        <w:t xml:space="preserve"> Harborne J.B., Baxter H.: The handbook of natural flavonoids. </w:t>
      </w:r>
      <w:r w:rsidRPr="00E56A40">
        <w:rPr>
          <w:rFonts w:ascii="Times New Roman" w:eastAsia="Times New Roman" w:hAnsi="Times New Roman" w:cs="Times New Roman"/>
          <w:sz w:val="24"/>
          <w:szCs w:val="24"/>
          <w:lang w:eastAsia="pl-PL"/>
        </w:rPr>
        <w:t xml:space="preserve">Willey, Chichester 1999. cyt. za Krauze-Baranowska M., Szumowicz E., 2004. Wierzba – źródło surowców leczniczych o działaniu przeciwzapalnym i przeciwbólowym. </w:t>
      </w:r>
      <w:r w:rsidRPr="00FF4196">
        <w:rPr>
          <w:rFonts w:ascii="Times New Roman" w:eastAsia="Times New Roman" w:hAnsi="Times New Roman" w:cs="Times New Roman"/>
          <w:sz w:val="24"/>
          <w:szCs w:val="24"/>
          <w:lang w:val="en-US" w:eastAsia="pl-PL"/>
        </w:rPr>
        <w:t>Postępy Fitoterapii 2, 77-86.</w:t>
      </w:r>
    </w:p>
    <w:p w14:paraId="1FE9FEC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b/>
          <w:bCs/>
          <w:sz w:val="24"/>
          <w:szCs w:val="24"/>
          <w:lang w:val="en-US" w:eastAsia="pl-PL"/>
        </w:rPr>
        <w:t>[12]</w:t>
      </w:r>
      <w:r w:rsidRPr="00FF4196">
        <w:rPr>
          <w:rFonts w:ascii="Times New Roman" w:eastAsia="Times New Roman" w:hAnsi="Times New Roman" w:cs="Times New Roman"/>
          <w:sz w:val="24"/>
          <w:szCs w:val="24"/>
          <w:lang w:val="en-US" w:eastAsia="pl-PL"/>
        </w:rPr>
        <w:t xml:space="preserve"> Bisset N., Wichtl M.: Herbal drugs and phytopharmaceuticals. </w:t>
      </w:r>
      <w:r w:rsidRPr="00E56A40">
        <w:rPr>
          <w:rFonts w:ascii="Times New Roman" w:eastAsia="Times New Roman" w:hAnsi="Times New Roman" w:cs="Times New Roman"/>
          <w:sz w:val="24"/>
          <w:szCs w:val="24"/>
          <w:lang w:eastAsia="pl-PL"/>
        </w:rPr>
        <w:t>CRC, London 2001. cyt. za Krauze-Baranowska M., Szumowicz E., 2004. Wierzba – źródło surowców leczniczych o działaniu przeciwzapalnym i przeciwbólowym. Postępy Fitoterapii 2, 77-86.</w:t>
      </w:r>
    </w:p>
    <w:p w14:paraId="6EDECB3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lastRenderedPageBreak/>
        <w:t>[13]</w:t>
      </w:r>
      <w:r w:rsidRPr="00E56A40">
        <w:rPr>
          <w:rFonts w:ascii="Times New Roman" w:eastAsia="Times New Roman" w:hAnsi="Times New Roman" w:cs="Times New Roman"/>
          <w:sz w:val="24"/>
          <w:szCs w:val="24"/>
          <w:lang w:eastAsia="pl-PL"/>
        </w:rPr>
        <w:t xml:space="preserve"> Karl C., Pedersen P.A., Schwarz C., 1977. Ein neues flavonolacetylglucosid aus </w:t>
      </w:r>
      <w:r w:rsidRPr="00E56A40">
        <w:rPr>
          <w:rFonts w:ascii="Times New Roman" w:eastAsia="Times New Roman" w:hAnsi="Times New Roman" w:cs="Times New Roman"/>
          <w:i/>
          <w:iCs/>
          <w:sz w:val="24"/>
          <w:szCs w:val="24"/>
          <w:lang w:eastAsia="pl-PL"/>
        </w:rPr>
        <w:t>Salix viminalis</w:t>
      </w:r>
      <w:r w:rsidRPr="00E56A40">
        <w:rPr>
          <w:rFonts w:ascii="Times New Roman" w:eastAsia="Times New Roman" w:hAnsi="Times New Roman" w:cs="Times New Roman"/>
          <w:sz w:val="24"/>
          <w:szCs w:val="24"/>
          <w:lang w:eastAsia="pl-PL"/>
        </w:rPr>
        <w:t>. Phytockmistry, 16, 1117.</w:t>
      </w:r>
    </w:p>
    <w:p w14:paraId="7426D10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91"/>
        <w:gridCol w:w="4609"/>
        <w:gridCol w:w="2556"/>
      </w:tblGrid>
      <w:tr w:rsidR="00E56A40" w:rsidRPr="00E56A40" w14:paraId="7E367106" w14:textId="77777777" w:rsidTr="00E56A40">
        <w:trPr>
          <w:tblCellSpacing w:w="0" w:type="dxa"/>
        </w:trPr>
        <w:tc>
          <w:tcPr>
            <w:tcW w:w="2310" w:type="dxa"/>
            <w:tcBorders>
              <w:top w:val="outset" w:sz="6" w:space="0" w:color="auto"/>
              <w:left w:val="outset" w:sz="6" w:space="0" w:color="auto"/>
              <w:bottom w:val="outset" w:sz="6" w:space="0" w:color="auto"/>
              <w:right w:val="outset" w:sz="6" w:space="0" w:color="auto"/>
            </w:tcBorders>
            <w:hideMark/>
          </w:tcPr>
          <w:p w14:paraId="102EB21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Biomasa</w:t>
            </w:r>
          </w:p>
        </w:tc>
        <w:tc>
          <w:tcPr>
            <w:tcW w:w="5850" w:type="dxa"/>
            <w:tcBorders>
              <w:top w:val="outset" w:sz="6" w:space="0" w:color="auto"/>
              <w:left w:val="outset" w:sz="6" w:space="0" w:color="auto"/>
              <w:bottom w:val="outset" w:sz="6" w:space="0" w:color="auto"/>
              <w:right w:val="outset" w:sz="6" w:space="0" w:color="auto"/>
            </w:tcBorders>
            <w:hideMark/>
          </w:tcPr>
          <w:p w14:paraId="6A7227F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Związek chemiczny</w:t>
            </w:r>
          </w:p>
        </w:tc>
        <w:tc>
          <w:tcPr>
            <w:tcW w:w="3225" w:type="dxa"/>
            <w:tcBorders>
              <w:top w:val="outset" w:sz="6" w:space="0" w:color="auto"/>
              <w:left w:val="outset" w:sz="6" w:space="0" w:color="auto"/>
              <w:bottom w:val="outset" w:sz="6" w:space="0" w:color="auto"/>
              <w:right w:val="outset" w:sz="6" w:space="0" w:color="auto"/>
            </w:tcBorders>
            <w:hideMark/>
          </w:tcPr>
          <w:p w14:paraId="387511B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Literatura</w:t>
            </w:r>
          </w:p>
        </w:tc>
      </w:tr>
      <w:tr w:rsidR="00E56A40" w:rsidRPr="00E56A40" w14:paraId="0326807A" w14:textId="77777777" w:rsidTr="00E56A40">
        <w:trPr>
          <w:tblCellSpacing w:w="0" w:type="dxa"/>
        </w:trPr>
        <w:tc>
          <w:tcPr>
            <w:tcW w:w="2310" w:type="dxa"/>
            <w:vMerge w:val="restart"/>
            <w:tcBorders>
              <w:top w:val="outset" w:sz="6" w:space="0" w:color="auto"/>
              <w:left w:val="outset" w:sz="6" w:space="0" w:color="auto"/>
              <w:bottom w:val="outset" w:sz="6" w:space="0" w:color="auto"/>
              <w:right w:val="outset" w:sz="6" w:space="0" w:color="auto"/>
            </w:tcBorders>
            <w:hideMark/>
          </w:tcPr>
          <w:p w14:paraId="099AEC9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1772340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13435AC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19FE0A1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41D4E12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1ECD763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Topola</w:t>
            </w:r>
          </w:p>
          <w:p w14:paraId="4B3E1EC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 </w:t>
            </w:r>
            <w:r w:rsidRPr="00E56A40">
              <w:rPr>
                <w:rFonts w:ascii="Times New Roman" w:eastAsia="Times New Roman" w:hAnsi="Times New Roman" w:cs="Times New Roman"/>
                <w:b/>
                <w:bCs/>
                <w:sz w:val="24"/>
                <w:szCs w:val="24"/>
                <w:lang w:eastAsia="pl-PL"/>
              </w:rPr>
              <w:t>(</w:t>
            </w:r>
            <w:r w:rsidRPr="00E56A40">
              <w:rPr>
                <w:rFonts w:ascii="Times New Roman" w:eastAsia="Times New Roman" w:hAnsi="Times New Roman" w:cs="Times New Roman"/>
                <w:b/>
                <w:bCs/>
                <w:i/>
                <w:iCs/>
                <w:sz w:val="24"/>
                <w:szCs w:val="24"/>
                <w:lang w:eastAsia="pl-PL"/>
              </w:rPr>
              <w:t xml:space="preserve">Populus </w:t>
            </w:r>
            <w:r w:rsidRPr="00E56A40">
              <w:rPr>
                <w:rFonts w:ascii="Times New Roman" w:eastAsia="Times New Roman" w:hAnsi="Times New Roman" w:cs="Times New Roman"/>
                <w:b/>
                <w:bCs/>
                <w:sz w:val="24"/>
                <w:szCs w:val="24"/>
                <w:lang w:eastAsia="pl-PL"/>
              </w:rPr>
              <w:t>L.</w:t>
            </w:r>
            <w:r w:rsidRPr="00E56A40">
              <w:rPr>
                <w:rFonts w:ascii="Times New Roman" w:eastAsia="Times New Roman" w:hAnsi="Times New Roman" w:cs="Times New Roman"/>
                <w:b/>
                <w:bCs/>
                <w:i/>
                <w:iCs/>
                <w:sz w:val="24"/>
                <w:szCs w:val="24"/>
                <w:lang w:eastAsia="pl-PL"/>
              </w:rPr>
              <w:t>)</w:t>
            </w:r>
          </w:p>
          <w:p w14:paraId="292EEA7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 </w:t>
            </w:r>
          </w:p>
        </w:tc>
        <w:tc>
          <w:tcPr>
            <w:tcW w:w="5850" w:type="dxa"/>
            <w:tcBorders>
              <w:top w:val="outset" w:sz="6" w:space="0" w:color="auto"/>
              <w:left w:val="outset" w:sz="6" w:space="0" w:color="auto"/>
              <w:bottom w:val="outset" w:sz="6" w:space="0" w:color="auto"/>
              <w:right w:val="outset" w:sz="6" w:space="0" w:color="auto"/>
            </w:tcBorders>
            <w:hideMark/>
          </w:tcPr>
          <w:p w14:paraId="07E4D57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chryzyna</w:t>
            </w:r>
          </w:p>
        </w:tc>
        <w:tc>
          <w:tcPr>
            <w:tcW w:w="3225" w:type="dxa"/>
            <w:tcBorders>
              <w:top w:val="outset" w:sz="6" w:space="0" w:color="auto"/>
              <w:left w:val="outset" w:sz="6" w:space="0" w:color="auto"/>
              <w:bottom w:val="outset" w:sz="6" w:space="0" w:color="auto"/>
              <w:right w:val="outset" w:sz="6" w:space="0" w:color="auto"/>
            </w:tcBorders>
            <w:hideMark/>
          </w:tcPr>
          <w:p w14:paraId="70DDAC4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[7]</w:t>
            </w:r>
          </w:p>
        </w:tc>
      </w:tr>
      <w:tr w:rsidR="00E56A40" w:rsidRPr="00E56A40" w14:paraId="42F3E6F0"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71B7ECA"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74DC0D9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galangina</w:t>
            </w:r>
          </w:p>
        </w:tc>
        <w:tc>
          <w:tcPr>
            <w:tcW w:w="3225" w:type="dxa"/>
            <w:tcBorders>
              <w:top w:val="outset" w:sz="6" w:space="0" w:color="auto"/>
              <w:left w:val="outset" w:sz="6" w:space="0" w:color="auto"/>
              <w:bottom w:val="outset" w:sz="6" w:space="0" w:color="auto"/>
              <w:right w:val="outset" w:sz="6" w:space="0" w:color="auto"/>
            </w:tcBorders>
            <w:hideMark/>
          </w:tcPr>
          <w:p w14:paraId="3902FEC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[7]</w:t>
            </w:r>
          </w:p>
        </w:tc>
      </w:tr>
      <w:tr w:rsidR="00E56A40" w:rsidRPr="00E56A40" w14:paraId="0881A4C5"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1EF6134"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7770BD7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eriodykcjol</w:t>
            </w:r>
          </w:p>
        </w:tc>
        <w:tc>
          <w:tcPr>
            <w:tcW w:w="3225" w:type="dxa"/>
            <w:tcBorders>
              <w:top w:val="outset" w:sz="6" w:space="0" w:color="auto"/>
              <w:left w:val="outset" w:sz="6" w:space="0" w:color="auto"/>
              <w:bottom w:val="outset" w:sz="6" w:space="0" w:color="auto"/>
              <w:right w:val="outset" w:sz="6" w:space="0" w:color="auto"/>
            </w:tcBorders>
            <w:hideMark/>
          </w:tcPr>
          <w:p w14:paraId="3B21533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[5]</w:t>
            </w:r>
          </w:p>
        </w:tc>
      </w:tr>
      <w:tr w:rsidR="00E56A40" w:rsidRPr="00E56A40" w14:paraId="3171476F"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09AD9DA"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7FA47A8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kwercetyna</w:t>
            </w:r>
          </w:p>
        </w:tc>
        <w:tc>
          <w:tcPr>
            <w:tcW w:w="3225" w:type="dxa"/>
            <w:tcBorders>
              <w:top w:val="outset" w:sz="6" w:space="0" w:color="auto"/>
              <w:left w:val="outset" w:sz="6" w:space="0" w:color="auto"/>
              <w:bottom w:val="outset" w:sz="6" w:space="0" w:color="auto"/>
              <w:right w:val="outset" w:sz="6" w:space="0" w:color="auto"/>
            </w:tcBorders>
            <w:hideMark/>
          </w:tcPr>
          <w:p w14:paraId="63FE64E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16E90070"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1CE4789"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419B474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rutyna</w:t>
            </w:r>
          </w:p>
        </w:tc>
        <w:tc>
          <w:tcPr>
            <w:tcW w:w="3225" w:type="dxa"/>
            <w:tcBorders>
              <w:top w:val="outset" w:sz="6" w:space="0" w:color="auto"/>
              <w:left w:val="outset" w:sz="6" w:space="0" w:color="auto"/>
              <w:bottom w:val="outset" w:sz="6" w:space="0" w:color="auto"/>
              <w:right w:val="outset" w:sz="6" w:space="0" w:color="auto"/>
            </w:tcBorders>
            <w:hideMark/>
          </w:tcPr>
          <w:p w14:paraId="7D0A804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516CAAAB"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3C282E9"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824DD4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kemferol</w:t>
            </w:r>
          </w:p>
        </w:tc>
        <w:tc>
          <w:tcPr>
            <w:tcW w:w="3225" w:type="dxa"/>
            <w:tcBorders>
              <w:top w:val="outset" w:sz="6" w:space="0" w:color="auto"/>
              <w:left w:val="outset" w:sz="6" w:space="0" w:color="auto"/>
              <w:bottom w:val="outset" w:sz="6" w:space="0" w:color="auto"/>
              <w:right w:val="outset" w:sz="6" w:space="0" w:color="auto"/>
            </w:tcBorders>
            <w:hideMark/>
          </w:tcPr>
          <w:p w14:paraId="194A460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[5]</w:t>
            </w:r>
          </w:p>
        </w:tc>
      </w:tr>
      <w:tr w:rsidR="00E56A40" w:rsidRPr="00E56A40" w14:paraId="5FB81DEE"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0DC4A32"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2E17457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pinostrobina</w:t>
            </w:r>
          </w:p>
        </w:tc>
        <w:tc>
          <w:tcPr>
            <w:tcW w:w="3225" w:type="dxa"/>
            <w:tcBorders>
              <w:top w:val="outset" w:sz="6" w:space="0" w:color="auto"/>
              <w:left w:val="outset" w:sz="6" w:space="0" w:color="auto"/>
              <w:bottom w:val="outset" w:sz="6" w:space="0" w:color="auto"/>
              <w:right w:val="outset" w:sz="6" w:space="0" w:color="auto"/>
            </w:tcBorders>
            <w:hideMark/>
          </w:tcPr>
          <w:p w14:paraId="4DD0D63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092459FB"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56114A5"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6861C7F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apigenina</w:t>
            </w:r>
          </w:p>
        </w:tc>
        <w:tc>
          <w:tcPr>
            <w:tcW w:w="3225" w:type="dxa"/>
            <w:tcBorders>
              <w:top w:val="outset" w:sz="6" w:space="0" w:color="auto"/>
              <w:left w:val="outset" w:sz="6" w:space="0" w:color="auto"/>
              <w:bottom w:val="outset" w:sz="6" w:space="0" w:color="auto"/>
              <w:right w:val="outset" w:sz="6" w:space="0" w:color="auto"/>
            </w:tcBorders>
            <w:hideMark/>
          </w:tcPr>
          <w:p w14:paraId="0A41609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65813A2F"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29C97B9"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C756E1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eter 3-metylowy galanginy</w:t>
            </w:r>
          </w:p>
        </w:tc>
        <w:tc>
          <w:tcPr>
            <w:tcW w:w="3225" w:type="dxa"/>
            <w:tcBorders>
              <w:top w:val="outset" w:sz="6" w:space="0" w:color="auto"/>
              <w:left w:val="outset" w:sz="6" w:space="0" w:color="auto"/>
              <w:bottom w:val="outset" w:sz="6" w:space="0" w:color="auto"/>
              <w:right w:val="outset" w:sz="6" w:space="0" w:color="auto"/>
            </w:tcBorders>
            <w:hideMark/>
          </w:tcPr>
          <w:p w14:paraId="200E73E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54054792"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9A2120A"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499AD1D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eter 3-metylowy kwercetyny</w:t>
            </w:r>
          </w:p>
        </w:tc>
        <w:tc>
          <w:tcPr>
            <w:tcW w:w="3225" w:type="dxa"/>
            <w:tcBorders>
              <w:top w:val="outset" w:sz="6" w:space="0" w:color="auto"/>
              <w:left w:val="outset" w:sz="6" w:space="0" w:color="auto"/>
              <w:bottom w:val="outset" w:sz="6" w:space="0" w:color="auto"/>
              <w:right w:val="outset" w:sz="6" w:space="0" w:color="auto"/>
            </w:tcBorders>
            <w:hideMark/>
          </w:tcPr>
          <w:p w14:paraId="5371E90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52962AD7"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9979550"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7747FFC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octan 3-pinobanksyny</w:t>
            </w:r>
          </w:p>
        </w:tc>
        <w:tc>
          <w:tcPr>
            <w:tcW w:w="3225" w:type="dxa"/>
            <w:tcBorders>
              <w:top w:val="outset" w:sz="6" w:space="0" w:color="auto"/>
              <w:left w:val="outset" w:sz="6" w:space="0" w:color="auto"/>
              <w:bottom w:val="outset" w:sz="6" w:space="0" w:color="auto"/>
              <w:right w:val="outset" w:sz="6" w:space="0" w:color="auto"/>
            </w:tcBorders>
            <w:hideMark/>
          </w:tcPr>
          <w:p w14:paraId="202BFD0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2C6C9565"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5F65045"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57262E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salicyna</w:t>
            </w:r>
          </w:p>
        </w:tc>
        <w:tc>
          <w:tcPr>
            <w:tcW w:w="3225" w:type="dxa"/>
            <w:tcBorders>
              <w:top w:val="outset" w:sz="6" w:space="0" w:color="auto"/>
              <w:left w:val="outset" w:sz="6" w:space="0" w:color="auto"/>
              <w:bottom w:val="outset" w:sz="6" w:space="0" w:color="auto"/>
              <w:right w:val="outset" w:sz="6" w:space="0" w:color="auto"/>
            </w:tcBorders>
            <w:hideMark/>
          </w:tcPr>
          <w:p w14:paraId="0049DB3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w:t>
            </w:r>
          </w:p>
        </w:tc>
      </w:tr>
      <w:tr w:rsidR="00E56A40" w:rsidRPr="00E56A40" w14:paraId="4CDC1008"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CABFC30"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4CF6A40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kawowy</w:t>
            </w:r>
          </w:p>
        </w:tc>
        <w:tc>
          <w:tcPr>
            <w:tcW w:w="3225" w:type="dxa"/>
            <w:tcBorders>
              <w:top w:val="outset" w:sz="6" w:space="0" w:color="auto"/>
              <w:left w:val="outset" w:sz="6" w:space="0" w:color="auto"/>
              <w:bottom w:val="outset" w:sz="6" w:space="0" w:color="auto"/>
              <w:right w:val="outset" w:sz="6" w:space="0" w:color="auto"/>
            </w:tcBorders>
            <w:hideMark/>
          </w:tcPr>
          <w:p w14:paraId="2CFEFA7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w:t>
            </w:r>
          </w:p>
        </w:tc>
      </w:tr>
      <w:tr w:rsidR="00E56A40" w:rsidRPr="00E56A40" w14:paraId="727C186F"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15FEA75"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47B2656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p-kumarowy</w:t>
            </w:r>
          </w:p>
        </w:tc>
        <w:tc>
          <w:tcPr>
            <w:tcW w:w="3225" w:type="dxa"/>
            <w:tcBorders>
              <w:top w:val="outset" w:sz="6" w:space="0" w:color="auto"/>
              <w:left w:val="outset" w:sz="6" w:space="0" w:color="auto"/>
              <w:bottom w:val="outset" w:sz="6" w:space="0" w:color="auto"/>
              <w:right w:val="outset" w:sz="6" w:space="0" w:color="auto"/>
            </w:tcBorders>
            <w:hideMark/>
          </w:tcPr>
          <w:p w14:paraId="21E893D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 [7]</w:t>
            </w:r>
          </w:p>
        </w:tc>
      </w:tr>
      <w:tr w:rsidR="00E56A40" w:rsidRPr="00E56A40" w14:paraId="772DAAC8"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DC25429"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432369D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ferulowy</w:t>
            </w:r>
          </w:p>
        </w:tc>
        <w:tc>
          <w:tcPr>
            <w:tcW w:w="3225" w:type="dxa"/>
            <w:tcBorders>
              <w:top w:val="outset" w:sz="6" w:space="0" w:color="auto"/>
              <w:left w:val="outset" w:sz="6" w:space="0" w:color="auto"/>
              <w:bottom w:val="outset" w:sz="6" w:space="0" w:color="auto"/>
              <w:right w:val="outset" w:sz="6" w:space="0" w:color="auto"/>
            </w:tcBorders>
            <w:hideMark/>
          </w:tcPr>
          <w:p w14:paraId="40A0E2E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w:t>
            </w:r>
          </w:p>
        </w:tc>
      </w:tr>
      <w:tr w:rsidR="00E56A40" w:rsidRPr="00E56A40" w14:paraId="3146597A"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DFDA5F4"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76D45FA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izoferulowy</w:t>
            </w:r>
          </w:p>
        </w:tc>
        <w:tc>
          <w:tcPr>
            <w:tcW w:w="3225" w:type="dxa"/>
            <w:tcBorders>
              <w:top w:val="outset" w:sz="6" w:space="0" w:color="auto"/>
              <w:left w:val="outset" w:sz="6" w:space="0" w:color="auto"/>
              <w:bottom w:val="outset" w:sz="6" w:space="0" w:color="auto"/>
              <w:right w:val="outset" w:sz="6" w:space="0" w:color="auto"/>
            </w:tcBorders>
            <w:hideMark/>
          </w:tcPr>
          <w:p w14:paraId="4C67481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w:t>
            </w:r>
          </w:p>
        </w:tc>
      </w:tr>
      <w:tr w:rsidR="00E56A40" w:rsidRPr="00E56A40" w14:paraId="55997E84"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2E36819"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191D6B9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di-O-metylokawowy</w:t>
            </w:r>
          </w:p>
        </w:tc>
        <w:tc>
          <w:tcPr>
            <w:tcW w:w="3225" w:type="dxa"/>
            <w:tcBorders>
              <w:top w:val="outset" w:sz="6" w:space="0" w:color="auto"/>
              <w:left w:val="outset" w:sz="6" w:space="0" w:color="auto"/>
              <w:bottom w:val="outset" w:sz="6" w:space="0" w:color="auto"/>
              <w:right w:val="outset" w:sz="6" w:space="0" w:color="auto"/>
            </w:tcBorders>
            <w:hideMark/>
          </w:tcPr>
          <w:p w14:paraId="18B43D1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w:t>
            </w:r>
          </w:p>
        </w:tc>
      </w:tr>
      <w:tr w:rsidR="00E56A40" w:rsidRPr="00E56A40" w14:paraId="76FBD7DF"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C9766E4"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75329F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cynamonowy</w:t>
            </w:r>
          </w:p>
        </w:tc>
        <w:tc>
          <w:tcPr>
            <w:tcW w:w="3225" w:type="dxa"/>
            <w:tcBorders>
              <w:top w:val="outset" w:sz="6" w:space="0" w:color="auto"/>
              <w:left w:val="outset" w:sz="6" w:space="0" w:color="auto"/>
              <w:bottom w:val="outset" w:sz="6" w:space="0" w:color="auto"/>
              <w:right w:val="outset" w:sz="6" w:space="0" w:color="auto"/>
            </w:tcBorders>
            <w:hideMark/>
          </w:tcPr>
          <w:p w14:paraId="2C7DF3B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w:t>
            </w:r>
          </w:p>
        </w:tc>
      </w:tr>
      <w:tr w:rsidR="00E56A40" w:rsidRPr="00E56A40" w14:paraId="2E3A2AB0"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69573C8"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1E879D8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pinocembryna</w:t>
            </w:r>
          </w:p>
        </w:tc>
        <w:tc>
          <w:tcPr>
            <w:tcW w:w="3225" w:type="dxa"/>
            <w:tcBorders>
              <w:top w:val="outset" w:sz="6" w:space="0" w:color="auto"/>
              <w:left w:val="outset" w:sz="6" w:space="0" w:color="auto"/>
              <w:bottom w:val="outset" w:sz="6" w:space="0" w:color="auto"/>
              <w:right w:val="outset" w:sz="6" w:space="0" w:color="auto"/>
            </w:tcBorders>
            <w:hideMark/>
          </w:tcPr>
          <w:p w14:paraId="53B3A7D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 [7]</w:t>
            </w:r>
          </w:p>
        </w:tc>
      </w:tr>
      <w:tr w:rsidR="00E56A40" w:rsidRPr="00E56A40" w14:paraId="3D23BDFD"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8845E09"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918264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pinobanksyna</w:t>
            </w:r>
          </w:p>
        </w:tc>
        <w:tc>
          <w:tcPr>
            <w:tcW w:w="3225" w:type="dxa"/>
            <w:tcBorders>
              <w:top w:val="outset" w:sz="6" w:space="0" w:color="auto"/>
              <w:left w:val="outset" w:sz="6" w:space="0" w:color="auto"/>
              <w:bottom w:val="outset" w:sz="6" w:space="0" w:color="auto"/>
              <w:right w:val="outset" w:sz="6" w:space="0" w:color="auto"/>
            </w:tcBorders>
            <w:hideMark/>
          </w:tcPr>
          <w:p w14:paraId="0E82708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[2], [7]</w:t>
            </w:r>
          </w:p>
        </w:tc>
      </w:tr>
      <w:tr w:rsidR="00E56A40" w:rsidRPr="00E56A40" w14:paraId="4A319342"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F3C6FAC"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6C94EE6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eter 5-metylowy pinobanksyny</w:t>
            </w:r>
          </w:p>
        </w:tc>
        <w:tc>
          <w:tcPr>
            <w:tcW w:w="3225" w:type="dxa"/>
            <w:tcBorders>
              <w:top w:val="outset" w:sz="6" w:space="0" w:color="auto"/>
              <w:left w:val="outset" w:sz="6" w:space="0" w:color="auto"/>
              <w:bottom w:val="outset" w:sz="6" w:space="0" w:color="auto"/>
              <w:right w:val="outset" w:sz="6" w:space="0" w:color="auto"/>
            </w:tcBorders>
            <w:hideMark/>
          </w:tcPr>
          <w:p w14:paraId="2889D15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w:t>
            </w:r>
          </w:p>
        </w:tc>
      </w:tr>
      <w:tr w:rsidR="00E56A40" w:rsidRPr="00E56A40" w14:paraId="1EDA9108"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AEB26D6"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A3DD41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grandydentatyna (A)</w:t>
            </w:r>
          </w:p>
        </w:tc>
        <w:tc>
          <w:tcPr>
            <w:tcW w:w="3225" w:type="dxa"/>
            <w:tcBorders>
              <w:top w:val="outset" w:sz="6" w:space="0" w:color="auto"/>
              <w:left w:val="outset" w:sz="6" w:space="0" w:color="auto"/>
              <w:bottom w:val="outset" w:sz="6" w:space="0" w:color="auto"/>
              <w:right w:val="outset" w:sz="6" w:space="0" w:color="auto"/>
            </w:tcBorders>
            <w:hideMark/>
          </w:tcPr>
          <w:p w14:paraId="10FEED1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[3], [4], [6]</w:t>
            </w:r>
          </w:p>
        </w:tc>
      </w:tr>
      <w:tr w:rsidR="00E56A40" w:rsidRPr="00E56A40" w14:paraId="44243161"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1FA952E"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4539E52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izograndydentatyna A, B</w:t>
            </w:r>
          </w:p>
        </w:tc>
        <w:tc>
          <w:tcPr>
            <w:tcW w:w="3225" w:type="dxa"/>
            <w:tcBorders>
              <w:top w:val="outset" w:sz="6" w:space="0" w:color="auto"/>
              <w:left w:val="outset" w:sz="6" w:space="0" w:color="auto"/>
              <w:bottom w:val="outset" w:sz="6" w:space="0" w:color="auto"/>
              <w:right w:val="outset" w:sz="6" w:space="0" w:color="auto"/>
            </w:tcBorders>
            <w:hideMark/>
          </w:tcPr>
          <w:p w14:paraId="59198C3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[3]</w:t>
            </w:r>
          </w:p>
        </w:tc>
      </w:tr>
      <w:tr w:rsidR="00E56A40" w:rsidRPr="00E56A40" w14:paraId="0371B89A"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B874090"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4EC4A47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salikortyna</w:t>
            </w:r>
          </w:p>
        </w:tc>
        <w:tc>
          <w:tcPr>
            <w:tcW w:w="3225" w:type="dxa"/>
            <w:tcBorders>
              <w:top w:val="outset" w:sz="6" w:space="0" w:color="auto"/>
              <w:left w:val="outset" w:sz="6" w:space="0" w:color="auto"/>
              <w:bottom w:val="outset" w:sz="6" w:space="0" w:color="auto"/>
              <w:right w:val="outset" w:sz="6" w:space="0" w:color="auto"/>
            </w:tcBorders>
            <w:hideMark/>
          </w:tcPr>
          <w:p w14:paraId="68E7108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[3]</w:t>
            </w:r>
          </w:p>
        </w:tc>
      </w:tr>
      <w:tr w:rsidR="00E56A40" w:rsidRPr="00E56A40" w14:paraId="3355E621"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CC3B035"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A4BA6F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populina</w:t>
            </w:r>
          </w:p>
        </w:tc>
        <w:tc>
          <w:tcPr>
            <w:tcW w:w="3225" w:type="dxa"/>
            <w:tcBorders>
              <w:top w:val="outset" w:sz="6" w:space="0" w:color="auto"/>
              <w:left w:val="outset" w:sz="6" w:space="0" w:color="auto"/>
              <w:bottom w:val="outset" w:sz="6" w:space="0" w:color="auto"/>
              <w:right w:val="outset" w:sz="6" w:space="0" w:color="auto"/>
            </w:tcBorders>
            <w:hideMark/>
          </w:tcPr>
          <w:p w14:paraId="03501C2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[3], [4]</w:t>
            </w:r>
          </w:p>
        </w:tc>
      </w:tr>
      <w:tr w:rsidR="00E56A40" w:rsidRPr="00E56A40" w14:paraId="2256EBF1"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16A5C88"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686C7E0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populina A</w:t>
            </w:r>
          </w:p>
        </w:tc>
        <w:tc>
          <w:tcPr>
            <w:tcW w:w="3225" w:type="dxa"/>
            <w:tcBorders>
              <w:top w:val="outset" w:sz="6" w:space="0" w:color="auto"/>
              <w:left w:val="outset" w:sz="6" w:space="0" w:color="auto"/>
              <w:bottom w:val="outset" w:sz="6" w:space="0" w:color="auto"/>
              <w:right w:val="outset" w:sz="6" w:space="0" w:color="auto"/>
            </w:tcBorders>
            <w:hideMark/>
          </w:tcPr>
          <w:p w14:paraId="252BF4B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[3], [4]</w:t>
            </w:r>
          </w:p>
        </w:tc>
      </w:tr>
      <w:tr w:rsidR="00E56A40" w:rsidRPr="00E56A40" w14:paraId="459F2FA5"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BA63485"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239C67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salirepozyd</w:t>
            </w:r>
          </w:p>
        </w:tc>
        <w:tc>
          <w:tcPr>
            <w:tcW w:w="3225" w:type="dxa"/>
            <w:tcBorders>
              <w:top w:val="outset" w:sz="6" w:space="0" w:color="auto"/>
              <w:left w:val="outset" w:sz="6" w:space="0" w:color="auto"/>
              <w:bottom w:val="outset" w:sz="6" w:space="0" w:color="auto"/>
              <w:right w:val="outset" w:sz="6" w:space="0" w:color="auto"/>
            </w:tcBorders>
            <w:hideMark/>
          </w:tcPr>
          <w:p w14:paraId="6D7F3EF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[3], [4], [6]</w:t>
            </w:r>
          </w:p>
        </w:tc>
      </w:tr>
      <w:tr w:rsidR="00E56A40" w:rsidRPr="00E56A40" w14:paraId="18F5F496"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6F3A37D"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4BD39E0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neosakuranina</w:t>
            </w:r>
          </w:p>
        </w:tc>
        <w:tc>
          <w:tcPr>
            <w:tcW w:w="3225" w:type="dxa"/>
            <w:tcBorders>
              <w:top w:val="outset" w:sz="6" w:space="0" w:color="auto"/>
              <w:left w:val="outset" w:sz="6" w:space="0" w:color="auto"/>
              <w:bottom w:val="outset" w:sz="6" w:space="0" w:color="auto"/>
              <w:right w:val="outset" w:sz="6" w:space="0" w:color="auto"/>
            </w:tcBorders>
            <w:hideMark/>
          </w:tcPr>
          <w:p w14:paraId="1061F4B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[5], [6]</w:t>
            </w:r>
          </w:p>
        </w:tc>
      </w:tr>
      <w:tr w:rsidR="00E56A40" w:rsidRPr="00E56A40" w14:paraId="21B2DB46"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EB4EBBF"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6DC4BC4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sakuranina</w:t>
            </w:r>
          </w:p>
        </w:tc>
        <w:tc>
          <w:tcPr>
            <w:tcW w:w="3225" w:type="dxa"/>
            <w:tcBorders>
              <w:top w:val="outset" w:sz="6" w:space="0" w:color="auto"/>
              <w:left w:val="outset" w:sz="6" w:space="0" w:color="auto"/>
              <w:bottom w:val="outset" w:sz="6" w:space="0" w:color="auto"/>
              <w:right w:val="outset" w:sz="6" w:space="0" w:color="auto"/>
            </w:tcBorders>
            <w:hideMark/>
          </w:tcPr>
          <w:p w14:paraId="2F77CAF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[5], [6]</w:t>
            </w:r>
          </w:p>
        </w:tc>
      </w:tr>
      <w:tr w:rsidR="00E56A40" w:rsidRPr="00E56A40" w14:paraId="134223AB"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592C8F8"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4B34C94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naryngenina</w:t>
            </w:r>
          </w:p>
        </w:tc>
        <w:tc>
          <w:tcPr>
            <w:tcW w:w="3225" w:type="dxa"/>
            <w:tcBorders>
              <w:top w:val="outset" w:sz="6" w:space="0" w:color="auto"/>
              <w:left w:val="outset" w:sz="6" w:space="0" w:color="auto"/>
              <w:bottom w:val="outset" w:sz="6" w:space="0" w:color="auto"/>
              <w:right w:val="outset" w:sz="6" w:space="0" w:color="auto"/>
            </w:tcBorders>
            <w:hideMark/>
          </w:tcPr>
          <w:p w14:paraId="431B8EC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[5]</w:t>
            </w:r>
          </w:p>
        </w:tc>
      </w:tr>
      <w:tr w:rsidR="00E56A40" w:rsidRPr="00E56A40" w14:paraId="0E9E1F02"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B5F1EC0"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B2B9E7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sakuranetyna</w:t>
            </w:r>
          </w:p>
        </w:tc>
        <w:tc>
          <w:tcPr>
            <w:tcW w:w="3225" w:type="dxa"/>
            <w:tcBorders>
              <w:top w:val="outset" w:sz="6" w:space="0" w:color="auto"/>
              <w:left w:val="outset" w:sz="6" w:space="0" w:color="auto"/>
              <w:bottom w:val="outset" w:sz="6" w:space="0" w:color="auto"/>
              <w:right w:val="outset" w:sz="6" w:space="0" w:color="auto"/>
            </w:tcBorders>
            <w:hideMark/>
          </w:tcPr>
          <w:p w14:paraId="136B18A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[5]</w:t>
            </w:r>
          </w:p>
        </w:tc>
      </w:tr>
      <w:tr w:rsidR="00E56A40" w:rsidRPr="00E56A40" w14:paraId="72603A2D"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3183CC2"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3DFBEB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ramnocitryna</w:t>
            </w:r>
          </w:p>
        </w:tc>
        <w:tc>
          <w:tcPr>
            <w:tcW w:w="3225" w:type="dxa"/>
            <w:tcBorders>
              <w:top w:val="outset" w:sz="6" w:space="0" w:color="auto"/>
              <w:left w:val="outset" w:sz="6" w:space="0" w:color="auto"/>
              <w:bottom w:val="outset" w:sz="6" w:space="0" w:color="auto"/>
              <w:right w:val="outset" w:sz="6" w:space="0" w:color="auto"/>
            </w:tcBorders>
            <w:hideMark/>
          </w:tcPr>
          <w:p w14:paraId="29A3221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[5]</w:t>
            </w:r>
          </w:p>
        </w:tc>
      </w:tr>
      <w:tr w:rsidR="00E56A40" w:rsidRPr="00E56A40" w14:paraId="1CAFEF20"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0A4BE6A"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7B29E24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aromadendryna</w:t>
            </w:r>
          </w:p>
        </w:tc>
        <w:tc>
          <w:tcPr>
            <w:tcW w:w="3225" w:type="dxa"/>
            <w:tcBorders>
              <w:top w:val="outset" w:sz="6" w:space="0" w:color="auto"/>
              <w:left w:val="outset" w:sz="6" w:space="0" w:color="auto"/>
              <w:bottom w:val="outset" w:sz="6" w:space="0" w:color="auto"/>
              <w:right w:val="outset" w:sz="6" w:space="0" w:color="auto"/>
            </w:tcBorders>
            <w:hideMark/>
          </w:tcPr>
          <w:p w14:paraId="10DA2AF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[5]</w:t>
            </w:r>
          </w:p>
        </w:tc>
      </w:tr>
    </w:tbl>
    <w:p w14:paraId="24754F7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 xml:space="preserve">[1] </w:t>
      </w:r>
      <w:r w:rsidRPr="00FF4196">
        <w:rPr>
          <w:rFonts w:ascii="Times New Roman" w:eastAsia="Times New Roman" w:hAnsi="Times New Roman" w:cs="Times New Roman"/>
          <w:sz w:val="24"/>
          <w:szCs w:val="24"/>
          <w:lang w:val="en-US" w:eastAsia="pl-PL"/>
        </w:rPr>
        <w:t xml:space="preserve">Morreel K., Goeminne G., Storme V., Sterck L., Ralph J., Coppieters W., Breyne P., Steenackers M., Georges M., Messens E., Boerjan W., 2006. Genetical metabolomics of flavonoid biosynthesis in </w:t>
      </w:r>
      <w:r w:rsidRPr="00FF4196">
        <w:rPr>
          <w:rFonts w:ascii="Times New Roman" w:eastAsia="Times New Roman" w:hAnsi="Times New Roman" w:cs="Times New Roman"/>
          <w:i/>
          <w:iCs/>
          <w:sz w:val="24"/>
          <w:szCs w:val="24"/>
          <w:lang w:val="en-US" w:eastAsia="pl-PL"/>
        </w:rPr>
        <w:t>Populus</w:t>
      </w:r>
      <w:r w:rsidRPr="00FF4196">
        <w:rPr>
          <w:rFonts w:ascii="Times New Roman" w:eastAsia="Times New Roman" w:hAnsi="Times New Roman" w:cs="Times New Roman"/>
          <w:sz w:val="24"/>
          <w:szCs w:val="24"/>
          <w:lang w:val="en-US" w:eastAsia="pl-PL"/>
        </w:rPr>
        <w:t>: a case study. The Plant Journal 47, 224-237.</w:t>
      </w:r>
    </w:p>
    <w:p w14:paraId="4376E5A5"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[2]</w:t>
      </w:r>
      <w:r w:rsidRPr="00FF4196">
        <w:rPr>
          <w:rFonts w:ascii="Times New Roman" w:eastAsia="Times New Roman" w:hAnsi="Times New Roman" w:cs="Times New Roman"/>
          <w:sz w:val="24"/>
          <w:szCs w:val="24"/>
          <w:lang w:val="en-US" w:eastAsia="pl-PL"/>
        </w:rPr>
        <w:t xml:space="preserve"> Dudonne S., Poupard P., Coutière P., Woillez M., Richard T., Merillon J.-M., Vitrac X., 2011. Phenolic Composition and Antioxidant Properties of Poplar Bud (</w:t>
      </w:r>
      <w:r w:rsidRPr="00FF4196">
        <w:rPr>
          <w:rFonts w:ascii="Times New Roman" w:eastAsia="Times New Roman" w:hAnsi="Times New Roman" w:cs="Times New Roman"/>
          <w:i/>
          <w:iCs/>
          <w:sz w:val="24"/>
          <w:szCs w:val="24"/>
          <w:lang w:val="en-US" w:eastAsia="pl-PL"/>
        </w:rPr>
        <w:t>Populus nigra</w:t>
      </w:r>
      <w:r w:rsidRPr="00FF4196">
        <w:rPr>
          <w:rFonts w:ascii="Times New Roman" w:eastAsia="Times New Roman" w:hAnsi="Times New Roman" w:cs="Times New Roman"/>
          <w:sz w:val="24"/>
          <w:szCs w:val="24"/>
          <w:lang w:val="en-US" w:eastAsia="pl-PL"/>
        </w:rPr>
        <w:t xml:space="preserve">) </w:t>
      </w:r>
      <w:r w:rsidRPr="00FF4196">
        <w:rPr>
          <w:rFonts w:ascii="Times New Roman" w:eastAsia="Times New Roman" w:hAnsi="Times New Roman" w:cs="Times New Roman"/>
          <w:sz w:val="24"/>
          <w:szCs w:val="24"/>
          <w:lang w:val="en-US" w:eastAsia="pl-PL"/>
        </w:rPr>
        <w:lastRenderedPageBreak/>
        <w:t>Extract: Individual Antioxidant Contribution of Phenolics and Transcriptional Effect on Skin Aging. J. Agric. Food Chem. 59(9), 4527-4536.</w:t>
      </w:r>
    </w:p>
    <w:p w14:paraId="4354BB1D"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[3]</w:t>
      </w:r>
      <w:r w:rsidRPr="00FF4196">
        <w:rPr>
          <w:rFonts w:ascii="Times New Roman" w:eastAsia="Times New Roman" w:hAnsi="Times New Roman" w:cs="Times New Roman"/>
          <w:sz w:val="24"/>
          <w:szCs w:val="24"/>
          <w:lang w:val="en-US" w:eastAsia="pl-PL"/>
        </w:rPr>
        <w:t xml:space="preserve"> Si C.-L., Kim J.-K., Bae Y.-S., Li S.-M., 2009. Phenolic Compounds in the Leaves of </w:t>
      </w:r>
      <w:r w:rsidRPr="00FF4196">
        <w:rPr>
          <w:rFonts w:ascii="Times New Roman" w:eastAsia="Times New Roman" w:hAnsi="Times New Roman" w:cs="Times New Roman"/>
          <w:i/>
          <w:iCs/>
          <w:sz w:val="24"/>
          <w:szCs w:val="24"/>
          <w:lang w:val="en-US" w:eastAsia="pl-PL"/>
        </w:rPr>
        <w:t>Populus ussuriensis</w:t>
      </w:r>
      <w:r w:rsidRPr="00FF4196">
        <w:rPr>
          <w:rFonts w:ascii="Times New Roman" w:eastAsia="Times New Roman" w:hAnsi="Times New Roman" w:cs="Times New Roman"/>
          <w:sz w:val="24"/>
          <w:szCs w:val="24"/>
          <w:lang w:val="en-US" w:eastAsia="pl-PL"/>
        </w:rPr>
        <w:t xml:space="preserve"> and their Antioxidant Activities. Planta Med. 75, 1165-1167.</w:t>
      </w:r>
    </w:p>
    <w:p w14:paraId="249B2F03"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[4]</w:t>
      </w:r>
      <w:r w:rsidRPr="00FF4196">
        <w:rPr>
          <w:rFonts w:ascii="Times New Roman" w:eastAsia="Times New Roman" w:hAnsi="Times New Roman" w:cs="Times New Roman"/>
          <w:sz w:val="24"/>
          <w:szCs w:val="24"/>
          <w:lang w:val="en-US" w:eastAsia="pl-PL"/>
        </w:rPr>
        <w:t xml:space="preserve"> Zhang X., Thuong P.T., Min B.S., Ngoc T.M., Hung T.M., Lee I.S., Na M., Seong Y.H., Song K.S., Bae K., 2006. Phenolic glycosides with antioxidant activity from the stem bark of </w:t>
      </w:r>
      <w:r w:rsidRPr="00FF4196">
        <w:rPr>
          <w:rFonts w:ascii="Times New Roman" w:eastAsia="Times New Roman" w:hAnsi="Times New Roman" w:cs="Times New Roman"/>
          <w:i/>
          <w:iCs/>
          <w:sz w:val="24"/>
          <w:szCs w:val="24"/>
          <w:lang w:val="en-US" w:eastAsia="pl-PL"/>
        </w:rPr>
        <w:t>Populus davidiana</w:t>
      </w:r>
      <w:r w:rsidRPr="00FF4196">
        <w:rPr>
          <w:rFonts w:ascii="Times New Roman" w:eastAsia="Times New Roman" w:hAnsi="Times New Roman" w:cs="Times New Roman"/>
          <w:sz w:val="24"/>
          <w:szCs w:val="24"/>
          <w:lang w:val="en-US" w:eastAsia="pl-PL"/>
        </w:rPr>
        <w:t>. J. Nat. Prod. 69(9), 1370-1373.</w:t>
      </w:r>
    </w:p>
    <w:p w14:paraId="70675A02"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[5]</w:t>
      </w:r>
      <w:r w:rsidRPr="00FF4196">
        <w:rPr>
          <w:rFonts w:ascii="Times New Roman" w:eastAsia="Times New Roman" w:hAnsi="Times New Roman" w:cs="Times New Roman"/>
          <w:sz w:val="24"/>
          <w:szCs w:val="24"/>
          <w:lang w:val="en-US" w:eastAsia="pl-PL"/>
        </w:rPr>
        <w:t xml:space="preserve"> Zhang X., Hung T.M., Phuong P.T., Ngoc T.M., Min B.S., Song K.S., Seong Y.H., Bae K., 2006. Anti-inflammatory activity of flavonoids from </w:t>
      </w:r>
      <w:r w:rsidRPr="00FF4196">
        <w:rPr>
          <w:rFonts w:ascii="Times New Roman" w:eastAsia="Times New Roman" w:hAnsi="Times New Roman" w:cs="Times New Roman"/>
          <w:i/>
          <w:iCs/>
          <w:sz w:val="24"/>
          <w:szCs w:val="24"/>
          <w:lang w:val="en-US" w:eastAsia="pl-PL"/>
        </w:rPr>
        <w:t>Populus davidiana</w:t>
      </w:r>
      <w:r w:rsidRPr="00FF4196">
        <w:rPr>
          <w:rFonts w:ascii="Times New Roman" w:eastAsia="Times New Roman" w:hAnsi="Times New Roman" w:cs="Times New Roman"/>
          <w:sz w:val="24"/>
          <w:szCs w:val="24"/>
          <w:lang w:val="en-US" w:eastAsia="pl-PL"/>
        </w:rPr>
        <w:t>. Arch. Pharm. Res. 29(12), 1102-1108.</w:t>
      </w:r>
    </w:p>
    <w:p w14:paraId="47F4E959"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[6]</w:t>
      </w:r>
      <w:r w:rsidRPr="00FF4196">
        <w:rPr>
          <w:rFonts w:ascii="Times New Roman" w:eastAsia="Times New Roman" w:hAnsi="Times New Roman" w:cs="Times New Roman"/>
          <w:sz w:val="24"/>
          <w:szCs w:val="24"/>
          <w:lang w:val="en-US" w:eastAsia="pl-PL"/>
        </w:rPr>
        <w:t xml:space="preserve"> Kwon D-J., Bae Y.-S., 2009. Phenolic glucosides from bark of </w:t>
      </w:r>
      <w:r w:rsidRPr="00FF4196">
        <w:rPr>
          <w:rFonts w:ascii="Times New Roman" w:eastAsia="Times New Roman" w:hAnsi="Times New Roman" w:cs="Times New Roman"/>
          <w:i/>
          <w:iCs/>
          <w:sz w:val="24"/>
          <w:szCs w:val="24"/>
          <w:lang w:val="en-US" w:eastAsia="pl-PL"/>
        </w:rPr>
        <w:t>Populus alba</w:t>
      </w:r>
      <w:r w:rsidRPr="00FF4196">
        <w:rPr>
          <w:rFonts w:ascii="Times New Roman" w:eastAsia="Times New Roman" w:hAnsi="Times New Roman" w:cs="Times New Roman"/>
          <w:sz w:val="24"/>
          <w:szCs w:val="24"/>
          <w:lang w:val="en-US" w:eastAsia="pl-PL"/>
        </w:rPr>
        <w:t xml:space="preserve"> × </w:t>
      </w:r>
      <w:r w:rsidRPr="00FF4196">
        <w:rPr>
          <w:rFonts w:ascii="Times New Roman" w:eastAsia="Times New Roman" w:hAnsi="Times New Roman" w:cs="Times New Roman"/>
          <w:i/>
          <w:iCs/>
          <w:sz w:val="24"/>
          <w:szCs w:val="24"/>
          <w:lang w:val="en-US" w:eastAsia="pl-PL"/>
        </w:rPr>
        <w:t>glandulosa</w:t>
      </w:r>
      <w:r w:rsidRPr="00FF4196">
        <w:rPr>
          <w:rFonts w:ascii="Times New Roman" w:eastAsia="Times New Roman" w:hAnsi="Times New Roman" w:cs="Times New Roman"/>
          <w:sz w:val="24"/>
          <w:szCs w:val="24"/>
          <w:lang w:val="en-US" w:eastAsia="pl-PL"/>
        </w:rPr>
        <w:t xml:space="preserve"> (Salicaceae). Biochemical Systematics and Ecology 37, 130-132.</w:t>
      </w:r>
    </w:p>
    <w:p w14:paraId="19A8E77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b/>
          <w:bCs/>
          <w:sz w:val="24"/>
          <w:szCs w:val="24"/>
          <w:lang w:val="en-US" w:eastAsia="pl-PL"/>
        </w:rPr>
        <w:t>[7]</w:t>
      </w:r>
      <w:r w:rsidRPr="00FF4196">
        <w:rPr>
          <w:rFonts w:ascii="Times New Roman" w:eastAsia="Times New Roman" w:hAnsi="Times New Roman" w:cs="Times New Roman"/>
          <w:sz w:val="24"/>
          <w:szCs w:val="24"/>
          <w:lang w:val="en-US" w:eastAsia="pl-PL"/>
        </w:rPr>
        <w:t xml:space="preserve"> Kus P., Jerković I., Jakovljević M., Jokić S., 2018, Extraction of bioactive phenolics from black poplar (</w:t>
      </w:r>
      <w:r w:rsidRPr="00FF4196">
        <w:rPr>
          <w:rFonts w:ascii="Times New Roman" w:eastAsia="Times New Roman" w:hAnsi="Times New Roman" w:cs="Times New Roman"/>
          <w:i/>
          <w:iCs/>
          <w:sz w:val="24"/>
          <w:szCs w:val="24"/>
          <w:lang w:val="en-US" w:eastAsia="pl-PL"/>
        </w:rPr>
        <w:t>Populus nigra</w:t>
      </w:r>
      <w:r w:rsidRPr="00FF4196">
        <w:rPr>
          <w:rFonts w:ascii="Times New Roman" w:eastAsia="Times New Roman" w:hAnsi="Times New Roman" w:cs="Times New Roman"/>
          <w:sz w:val="24"/>
          <w:szCs w:val="24"/>
          <w:lang w:val="en-US" w:eastAsia="pl-PL"/>
        </w:rPr>
        <w:t xml:space="preserve"> L.) buds by supercritical CO2 and its optimization by response surface methodology. </w:t>
      </w:r>
      <w:r w:rsidRPr="00E56A40">
        <w:rPr>
          <w:rFonts w:ascii="Times New Roman" w:eastAsia="Times New Roman" w:hAnsi="Times New Roman" w:cs="Times New Roman"/>
          <w:sz w:val="24"/>
          <w:szCs w:val="24"/>
          <w:lang w:eastAsia="pl-PL"/>
        </w:rPr>
        <w:t>J. Pharm. Biomed. Anal. 152, 128-136.</w:t>
      </w:r>
    </w:p>
    <w:p w14:paraId="7FC42B1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4"/>
        <w:gridCol w:w="4540"/>
        <w:gridCol w:w="2512"/>
      </w:tblGrid>
      <w:tr w:rsidR="00E56A40" w:rsidRPr="00E56A40" w14:paraId="1ADBCDCE" w14:textId="77777777" w:rsidTr="00E56A40">
        <w:trPr>
          <w:tblCellSpacing w:w="0" w:type="dxa"/>
        </w:trPr>
        <w:tc>
          <w:tcPr>
            <w:tcW w:w="2310" w:type="dxa"/>
            <w:tcBorders>
              <w:top w:val="outset" w:sz="6" w:space="0" w:color="auto"/>
              <w:left w:val="outset" w:sz="6" w:space="0" w:color="auto"/>
              <w:bottom w:val="outset" w:sz="6" w:space="0" w:color="auto"/>
              <w:right w:val="outset" w:sz="6" w:space="0" w:color="auto"/>
            </w:tcBorders>
            <w:hideMark/>
          </w:tcPr>
          <w:p w14:paraId="23B655B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Biomasa</w:t>
            </w:r>
          </w:p>
        </w:tc>
        <w:tc>
          <w:tcPr>
            <w:tcW w:w="5850" w:type="dxa"/>
            <w:tcBorders>
              <w:top w:val="outset" w:sz="6" w:space="0" w:color="auto"/>
              <w:left w:val="outset" w:sz="6" w:space="0" w:color="auto"/>
              <w:bottom w:val="outset" w:sz="6" w:space="0" w:color="auto"/>
              <w:right w:val="outset" w:sz="6" w:space="0" w:color="auto"/>
            </w:tcBorders>
            <w:hideMark/>
          </w:tcPr>
          <w:p w14:paraId="2504370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Związek chemiczny</w:t>
            </w:r>
          </w:p>
        </w:tc>
        <w:tc>
          <w:tcPr>
            <w:tcW w:w="3225" w:type="dxa"/>
            <w:tcBorders>
              <w:top w:val="outset" w:sz="6" w:space="0" w:color="auto"/>
              <w:left w:val="outset" w:sz="6" w:space="0" w:color="auto"/>
              <w:bottom w:val="outset" w:sz="6" w:space="0" w:color="auto"/>
              <w:right w:val="outset" w:sz="6" w:space="0" w:color="auto"/>
            </w:tcBorders>
            <w:hideMark/>
          </w:tcPr>
          <w:p w14:paraId="2DBF318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Literatura</w:t>
            </w:r>
          </w:p>
        </w:tc>
      </w:tr>
      <w:tr w:rsidR="00E56A40" w:rsidRPr="00E56A40" w14:paraId="7DE922CA" w14:textId="77777777" w:rsidTr="00E56A40">
        <w:trPr>
          <w:tblCellSpacing w:w="0" w:type="dxa"/>
        </w:trPr>
        <w:tc>
          <w:tcPr>
            <w:tcW w:w="2310" w:type="dxa"/>
            <w:vMerge w:val="restart"/>
            <w:tcBorders>
              <w:top w:val="outset" w:sz="6" w:space="0" w:color="auto"/>
              <w:left w:val="outset" w:sz="6" w:space="0" w:color="auto"/>
              <w:bottom w:val="outset" w:sz="6" w:space="0" w:color="auto"/>
              <w:right w:val="outset" w:sz="6" w:space="0" w:color="auto"/>
            </w:tcBorders>
            <w:hideMark/>
          </w:tcPr>
          <w:p w14:paraId="7D730F6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 </w:t>
            </w:r>
          </w:p>
          <w:p w14:paraId="4223E69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Słonecznik wierzbolistny</w:t>
            </w:r>
          </w:p>
          <w:p w14:paraId="76533EB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 </w:t>
            </w:r>
            <w:r w:rsidRPr="00E56A40">
              <w:rPr>
                <w:rFonts w:ascii="Times New Roman" w:eastAsia="Times New Roman" w:hAnsi="Times New Roman" w:cs="Times New Roman"/>
                <w:b/>
                <w:bCs/>
                <w:sz w:val="24"/>
                <w:szCs w:val="24"/>
                <w:lang w:eastAsia="pl-PL"/>
              </w:rPr>
              <w:t>(</w:t>
            </w:r>
            <w:r w:rsidRPr="00E56A40">
              <w:rPr>
                <w:rFonts w:ascii="Times New Roman" w:eastAsia="Times New Roman" w:hAnsi="Times New Roman" w:cs="Times New Roman"/>
                <w:b/>
                <w:bCs/>
                <w:i/>
                <w:iCs/>
                <w:sz w:val="24"/>
                <w:szCs w:val="24"/>
                <w:lang w:eastAsia="pl-PL"/>
              </w:rPr>
              <w:t>Helianthus salicifolius)</w:t>
            </w:r>
          </w:p>
          <w:p w14:paraId="729B0F2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 </w:t>
            </w:r>
          </w:p>
        </w:tc>
        <w:tc>
          <w:tcPr>
            <w:tcW w:w="5850" w:type="dxa"/>
            <w:tcBorders>
              <w:top w:val="outset" w:sz="6" w:space="0" w:color="auto"/>
              <w:left w:val="outset" w:sz="6" w:space="0" w:color="auto"/>
              <w:bottom w:val="outset" w:sz="6" w:space="0" w:color="auto"/>
              <w:right w:val="outset" w:sz="6" w:space="0" w:color="auto"/>
            </w:tcBorders>
            <w:hideMark/>
          </w:tcPr>
          <w:p w14:paraId="41A26A3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6-metoksyapigenina</w:t>
            </w:r>
          </w:p>
        </w:tc>
        <w:tc>
          <w:tcPr>
            <w:tcW w:w="3225" w:type="dxa"/>
            <w:tcBorders>
              <w:top w:val="outset" w:sz="6" w:space="0" w:color="auto"/>
              <w:left w:val="outset" w:sz="6" w:space="0" w:color="auto"/>
              <w:bottom w:val="outset" w:sz="6" w:space="0" w:color="auto"/>
              <w:right w:val="outset" w:sz="6" w:space="0" w:color="auto"/>
            </w:tcBorders>
            <w:hideMark/>
          </w:tcPr>
          <w:p w14:paraId="0ED0DE3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27247074"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3E89E89"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E16D10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6-metoksyluteolina</w:t>
            </w:r>
          </w:p>
        </w:tc>
        <w:tc>
          <w:tcPr>
            <w:tcW w:w="3225" w:type="dxa"/>
            <w:tcBorders>
              <w:top w:val="outset" w:sz="6" w:space="0" w:color="auto"/>
              <w:left w:val="outset" w:sz="6" w:space="0" w:color="auto"/>
              <w:bottom w:val="outset" w:sz="6" w:space="0" w:color="auto"/>
              <w:right w:val="outset" w:sz="6" w:space="0" w:color="auto"/>
            </w:tcBorders>
            <w:hideMark/>
          </w:tcPr>
          <w:p w14:paraId="0C5EAD2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1EE41CDA"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BFAE516"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233359C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6,4'-dimetoksyapigenina</w:t>
            </w:r>
          </w:p>
        </w:tc>
        <w:tc>
          <w:tcPr>
            <w:tcW w:w="3225" w:type="dxa"/>
            <w:tcBorders>
              <w:top w:val="outset" w:sz="6" w:space="0" w:color="auto"/>
              <w:left w:val="outset" w:sz="6" w:space="0" w:color="auto"/>
              <w:bottom w:val="outset" w:sz="6" w:space="0" w:color="auto"/>
              <w:right w:val="outset" w:sz="6" w:space="0" w:color="auto"/>
            </w:tcBorders>
            <w:hideMark/>
          </w:tcPr>
          <w:p w14:paraId="0407160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6B35D911"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0338DAB"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44CEB4F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3-glukozyd kemferolu</w:t>
            </w:r>
          </w:p>
        </w:tc>
        <w:tc>
          <w:tcPr>
            <w:tcW w:w="3225" w:type="dxa"/>
            <w:tcBorders>
              <w:top w:val="outset" w:sz="6" w:space="0" w:color="auto"/>
              <w:left w:val="outset" w:sz="6" w:space="0" w:color="auto"/>
              <w:bottom w:val="outset" w:sz="6" w:space="0" w:color="auto"/>
              <w:right w:val="outset" w:sz="6" w:space="0" w:color="auto"/>
            </w:tcBorders>
            <w:hideMark/>
          </w:tcPr>
          <w:p w14:paraId="4901F58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40AF1055"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BD55FE2"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13CC1A9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3-ramnoglukozyd kemferolu</w:t>
            </w:r>
          </w:p>
        </w:tc>
        <w:tc>
          <w:tcPr>
            <w:tcW w:w="3225" w:type="dxa"/>
            <w:tcBorders>
              <w:top w:val="outset" w:sz="6" w:space="0" w:color="auto"/>
              <w:left w:val="outset" w:sz="6" w:space="0" w:color="auto"/>
              <w:bottom w:val="outset" w:sz="6" w:space="0" w:color="auto"/>
              <w:right w:val="outset" w:sz="6" w:space="0" w:color="auto"/>
            </w:tcBorders>
            <w:hideMark/>
          </w:tcPr>
          <w:p w14:paraId="1824391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02D9570F"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71252B7"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4FBF50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glukozyd kwercetyny</w:t>
            </w:r>
          </w:p>
        </w:tc>
        <w:tc>
          <w:tcPr>
            <w:tcW w:w="3225" w:type="dxa"/>
            <w:tcBorders>
              <w:top w:val="outset" w:sz="6" w:space="0" w:color="auto"/>
              <w:left w:val="outset" w:sz="6" w:space="0" w:color="auto"/>
              <w:bottom w:val="outset" w:sz="6" w:space="0" w:color="auto"/>
              <w:right w:val="outset" w:sz="6" w:space="0" w:color="auto"/>
            </w:tcBorders>
            <w:hideMark/>
          </w:tcPr>
          <w:p w14:paraId="40F49A8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bl>
    <w:p w14:paraId="66ED936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b/>
          <w:bCs/>
          <w:sz w:val="24"/>
          <w:szCs w:val="24"/>
          <w:lang w:val="en-US" w:eastAsia="pl-PL"/>
        </w:rPr>
        <w:t>[1]</w:t>
      </w:r>
      <w:r w:rsidRPr="00FF4196">
        <w:rPr>
          <w:rFonts w:ascii="Times New Roman" w:eastAsia="Times New Roman" w:hAnsi="Times New Roman" w:cs="Times New Roman"/>
          <w:sz w:val="24"/>
          <w:szCs w:val="24"/>
          <w:lang w:val="en-US" w:eastAsia="pl-PL"/>
        </w:rPr>
        <w:t xml:space="preserve"> Schilling E.E., Mabry T.J., 1981. Flavonoids of </w:t>
      </w:r>
      <w:r w:rsidRPr="00FF4196">
        <w:rPr>
          <w:rFonts w:ascii="Times New Roman" w:eastAsia="Times New Roman" w:hAnsi="Times New Roman" w:cs="Times New Roman"/>
          <w:i/>
          <w:iCs/>
          <w:sz w:val="24"/>
          <w:szCs w:val="24"/>
          <w:lang w:val="en-US" w:eastAsia="pl-PL"/>
        </w:rPr>
        <w:t>Hetianthus</w:t>
      </w:r>
      <w:r w:rsidRPr="00FF4196">
        <w:rPr>
          <w:rFonts w:ascii="Times New Roman" w:eastAsia="Times New Roman" w:hAnsi="Times New Roman" w:cs="Times New Roman"/>
          <w:sz w:val="24"/>
          <w:szCs w:val="24"/>
          <w:lang w:val="en-US" w:eastAsia="pl-PL"/>
        </w:rPr>
        <w:t xml:space="preserve"> Series Corona-solis. </w:t>
      </w:r>
      <w:r w:rsidRPr="00E56A40">
        <w:rPr>
          <w:rFonts w:ascii="Times New Roman" w:eastAsia="Times New Roman" w:hAnsi="Times New Roman" w:cs="Times New Roman"/>
          <w:sz w:val="24"/>
          <w:szCs w:val="24"/>
          <w:lang w:eastAsia="pl-PL"/>
        </w:rPr>
        <w:t>Biochemical Systematics and Ecology 9, 161-163.</w:t>
      </w:r>
    </w:p>
    <w:p w14:paraId="433C655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8"/>
        <w:gridCol w:w="4587"/>
        <w:gridCol w:w="2511"/>
      </w:tblGrid>
      <w:tr w:rsidR="00E56A40" w:rsidRPr="00E56A40" w14:paraId="5945A7E8" w14:textId="77777777" w:rsidTr="00E56A40">
        <w:trPr>
          <w:tblCellSpacing w:w="0" w:type="dxa"/>
        </w:trPr>
        <w:tc>
          <w:tcPr>
            <w:tcW w:w="2310" w:type="dxa"/>
            <w:tcBorders>
              <w:top w:val="outset" w:sz="6" w:space="0" w:color="auto"/>
              <w:left w:val="outset" w:sz="6" w:space="0" w:color="auto"/>
              <w:bottom w:val="outset" w:sz="6" w:space="0" w:color="auto"/>
              <w:right w:val="outset" w:sz="6" w:space="0" w:color="auto"/>
            </w:tcBorders>
            <w:hideMark/>
          </w:tcPr>
          <w:p w14:paraId="7F083DF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Biomasa</w:t>
            </w:r>
          </w:p>
        </w:tc>
        <w:tc>
          <w:tcPr>
            <w:tcW w:w="5850" w:type="dxa"/>
            <w:tcBorders>
              <w:top w:val="outset" w:sz="6" w:space="0" w:color="auto"/>
              <w:left w:val="outset" w:sz="6" w:space="0" w:color="auto"/>
              <w:bottom w:val="outset" w:sz="6" w:space="0" w:color="auto"/>
              <w:right w:val="outset" w:sz="6" w:space="0" w:color="auto"/>
            </w:tcBorders>
            <w:hideMark/>
          </w:tcPr>
          <w:p w14:paraId="7A3E805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Związek chemiczny</w:t>
            </w:r>
          </w:p>
        </w:tc>
        <w:tc>
          <w:tcPr>
            <w:tcW w:w="3225" w:type="dxa"/>
            <w:tcBorders>
              <w:top w:val="outset" w:sz="6" w:space="0" w:color="auto"/>
              <w:left w:val="outset" w:sz="6" w:space="0" w:color="auto"/>
              <w:bottom w:val="outset" w:sz="6" w:space="0" w:color="auto"/>
              <w:right w:val="outset" w:sz="6" w:space="0" w:color="auto"/>
            </w:tcBorders>
            <w:hideMark/>
          </w:tcPr>
          <w:p w14:paraId="4ACDEE8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Literatura</w:t>
            </w:r>
          </w:p>
        </w:tc>
      </w:tr>
      <w:tr w:rsidR="00E56A40" w:rsidRPr="00E56A40" w14:paraId="4423B646" w14:textId="77777777" w:rsidTr="00E56A40">
        <w:trPr>
          <w:tblCellSpacing w:w="0" w:type="dxa"/>
        </w:trPr>
        <w:tc>
          <w:tcPr>
            <w:tcW w:w="2310" w:type="dxa"/>
            <w:vMerge w:val="restart"/>
            <w:tcBorders>
              <w:top w:val="outset" w:sz="6" w:space="0" w:color="auto"/>
              <w:left w:val="outset" w:sz="6" w:space="0" w:color="auto"/>
              <w:bottom w:val="outset" w:sz="6" w:space="0" w:color="auto"/>
              <w:right w:val="outset" w:sz="6" w:space="0" w:color="auto"/>
            </w:tcBorders>
            <w:hideMark/>
          </w:tcPr>
          <w:p w14:paraId="604765D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2E19EA6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3342455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106ADED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6EF4B05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lastRenderedPageBreak/>
              <w:t> </w:t>
            </w:r>
          </w:p>
          <w:p w14:paraId="3C1D83D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Rożnik przerośnięty</w:t>
            </w:r>
          </w:p>
          <w:p w14:paraId="5358D78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 </w:t>
            </w:r>
            <w:r w:rsidRPr="00E56A40">
              <w:rPr>
                <w:rFonts w:ascii="Times New Roman" w:eastAsia="Times New Roman" w:hAnsi="Times New Roman" w:cs="Times New Roman"/>
                <w:b/>
                <w:bCs/>
                <w:sz w:val="24"/>
                <w:szCs w:val="24"/>
                <w:lang w:eastAsia="pl-PL"/>
              </w:rPr>
              <w:t>(</w:t>
            </w:r>
            <w:r w:rsidRPr="00E56A40">
              <w:rPr>
                <w:rFonts w:ascii="Times New Roman" w:eastAsia="Times New Roman" w:hAnsi="Times New Roman" w:cs="Times New Roman"/>
                <w:b/>
                <w:bCs/>
                <w:i/>
                <w:iCs/>
                <w:sz w:val="24"/>
                <w:szCs w:val="24"/>
                <w:lang w:eastAsia="pl-PL"/>
              </w:rPr>
              <w:t>Silphium perfoliatum)</w:t>
            </w:r>
          </w:p>
          <w:p w14:paraId="1250535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 </w:t>
            </w:r>
          </w:p>
        </w:tc>
        <w:tc>
          <w:tcPr>
            <w:tcW w:w="5850" w:type="dxa"/>
            <w:tcBorders>
              <w:top w:val="outset" w:sz="6" w:space="0" w:color="auto"/>
              <w:left w:val="outset" w:sz="6" w:space="0" w:color="auto"/>
              <w:bottom w:val="outset" w:sz="6" w:space="0" w:color="auto"/>
              <w:right w:val="outset" w:sz="6" w:space="0" w:color="auto"/>
            </w:tcBorders>
            <w:hideMark/>
          </w:tcPr>
          <w:p w14:paraId="2E9B1F6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kwas ferulowy</w:t>
            </w:r>
          </w:p>
        </w:tc>
        <w:tc>
          <w:tcPr>
            <w:tcW w:w="3225" w:type="dxa"/>
            <w:tcBorders>
              <w:top w:val="outset" w:sz="6" w:space="0" w:color="auto"/>
              <w:left w:val="outset" w:sz="6" w:space="0" w:color="auto"/>
              <w:bottom w:val="outset" w:sz="6" w:space="0" w:color="auto"/>
              <w:right w:val="outset" w:sz="6" w:space="0" w:color="auto"/>
            </w:tcBorders>
            <w:hideMark/>
          </w:tcPr>
          <w:p w14:paraId="100FAB1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[2]</w:t>
            </w:r>
          </w:p>
        </w:tc>
      </w:tr>
      <w:tr w:rsidR="00E56A40" w:rsidRPr="00E56A40" w14:paraId="222AE841"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9146D41"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0FB0179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xml:space="preserve">kwas </w:t>
            </w:r>
            <w:r w:rsidRPr="00E56A40">
              <w:rPr>
                <w:rFonts w:ascii="Times New Roman" w:eastAsia="Times New Roman" w:hAnsi="Times New Roman" w:cs="Times New Roman"/>
                <w:i/>
                <w:iCs/>
                <w:sz w:val="24"/>
                <w:szCs w:val="24"/>
                <w:lang w:eastAsia="pl-PL"/>
              </w:rPr>
              <w:t>p</w:t>
            </w:r>
            <w:r w:rsidRPr="00E56A40">
              <w:rPr>
                <w:rFonts w:ascii="Times New Roman" w:eastAsia="Times New Roman" w:hAnsi="Times New Roman" w:cs="Times New Roman"/>
                <w:sz w:val="24"/>
                <w:szCs w:val="24"/>
                <w:lang w:eastAsia="pl-PL"/>
              </w:rPr>
              <w:t>-kumarowy</w:t>
            </w:r>
          </w:p>
        </w:tc>
        <w:tc>
          <w:tcPr>
            <w:tcW w:w="3225" w:type="dxa"/>
            <w:tcBorders>
              <w:top w:val="outset" w:sz="6" w:space="0" w:color="auto"/>
              <w:left w:val="outset" w:sz="6" w:space="0" w:color="auto"/>
              <w:bottom w:val="outset" w:sz="6" w:space="0" w:color="auto"/>
              <w:right w:val="outset" w:sz="6" w:space="0" w:color="auto"/>
            </w:tcBorders>
            <w:hideMark/>
          </w:tcPr>
          <w:p w14:paraId="71854EB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[2], [4]</w:t>
            </w:r>
          </w:p>
        </w:tc>
      </w:tr>
      <w:tr w:rsidR="00E56A40" w:rsidRPr="00E56A40" w14:paraId="5C0D207F"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31CCA9F"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62961AC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kawowy</w:t>
            </w:r>
          </w:p>
        </w:tc>
        <w:tc>
          <w:tcPr>
            <w:tcW w:w="3225" w:type="dxa"/>
            <w:tcBorders>
              <w:top w:val="outset" w:sz="6" w:space="0" w:color="auto"/>
              <w:left w:val="outset" w:sz="6" w:space="0" w:color="auto"/>
              <w:bottom w:val="outset" w:sz="6" w:space="0" w:color="auto"/>
              <w:right w:val="outset" w:sz="6" w:space="0" w:color="auto"/>
            </w:tcBorders>
            <w:hideMark/>
          </w:tcPr>
          <w:p w14:paraId="338DA55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[2]</w:t>
            </w:r>
          </w:p>
        </w:tc>
      </w:tr>
      <w:tr w:rsidR="00E56A40" w:rsidRPr="00E56A40" w14:paraId="2F3D854D"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EA487D1"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08FB5B6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wanilinowy</w:t>
            </w:r>
          </w:p>
        </w:tc>
        <w:tc>
          <w:tcPr>
            <w:tcW w:w="3225" w:type="dxa"/>
            <w:tcBorders>
              <w:top w:val="outset" w:sz="6" w:space="0" w:color="auto"/>
              <w:left w:val="outset" w:sz="6" w:space="0" w:color="auto"/>
              <w:bottom w:val="outset" w:sz="6" w:space="0" w:color="auto"/>
              <w:right w:val="outset" w:sz="6" w:space="0" w:color="auto"/>
            </w:tcBorders>
            <w:hideMark/>
          </w:tcPr>
          <w:p w14:paraId="2DEE6FA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[2]</w:t>
            </w:r>
          </w:p>
        </w:tc>
      </w:tr>
      <w:tr w:rsidR="00E56A40" w:rsidRPr="00E56A40" w14:paraId="6751ACEA"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62FA094"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4C30442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xml:space="preserve">kwas </w:t>
            </w:r>
            <w:r w:rsidRPr="00E56A40">
              <w:rPr>
                <w:rFonts w:ascii="Times New Roman" w:eastAsia="Times New Roman" w:hAnsi="Times New Roman" w:cs="Times New Roman"/>
                <w:i/>
                <w:iCs/>
                <w:sz w:val="24"/>
                <w:szCs w:val="24"/>
                <w:lang w:eastAsia="pl-PL"/>
              </w:rPr>
              <w:t>p</w:t>
            </w:r>
            <w:r w:rsidRPr="00E56A40">
              <w:rPr>
                <w:rFonts w:ascii="Times New Roman" w:eastAsia="Times New Roman" w:hAnsi="Times New Roman" w:cs="Times New Roman"/>
                <w:sz w:val="24"/>
                <w:szCs w:val="24"/>
                <w:lang w:eastAsia="pl-PL"/>
              </w:rPr>
              <w:t>-hydroksybenzoesowy</w:t>
            </w:r>
          </w:p>
        </w:tc>
        <w:tc>
          <w:tcPr>
            <w:tcW w:w="3225" w:type="dxa"/>
            <w:tcBorders>
              <w:top w:val="outset" w:sz="6" w:space="0" w:color="auto"/>
              <w:left w:val="outset" w:sz="6" w:space="0" w:color="auto"/>
              <w:bottom w:val="outset" w:sz="6" w:space="0" w:color="auto"/>
              <w:right w:val="outset" w:sz="6" w:space="0" w:color="auto"/>
            </w:tcBorders>
            <w:hideMark/>
          </w:tcPr>
          <w:p w14:paraId="72B365B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[2]</w:t>
            </w:r>
          </w:p>
        </w:tc>
      </w:tr>
      <w:tr w:rsidR="00E56A40" w:rsidRPr="00E56A40" w14:paraId="08B671A4"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3637708"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9DA489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protokatechowy</w:t>
            </w:r>
          </w:p>
        </w:tc>
        <w:tc>
          <w:tcPr>
            <w:tcW w:w="3225" w:type="dxa"/>
            <w:tcBorders>
              <w:top w:val="outset" w:sz="6" w:space="0" w:color="auto"/>
              <w:left w:val="outset" w:sz="6" w:space="0" w:color="auto"/>
              <w:bottom w:val="outset" w:sz="6" w:space="0" w:color="auto"/>
              <w:right w:val="outset" w:sz="6" w:space="0" w:color="auto"/>
            </w:tcBorders>
            <w:hideMark/>
          </w:tcPr>
          <w:p w14:paraId="261EDAA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[4]</w:t>
            </w:r>
          </w:p>
        </w:tc>
      </w:tr>
      <w:tr w:rsidR="00E56A40" w:rsidRPr="00E56A40" w14:paraId="108E7B9A"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A324C8F"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6AFFBB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chlorogenowy</w:t>
            </w:r>
          </w:p>
        </w:tc>
        <w:tc>
          <w:tcPr>
            <w:tcW w:w="3225" w:type="dxa"/>
            <w:tcBorders>
              <w:top w:val="outset" w:sz="6" w:space="0" w:color="auto"/>
              <w:left w:val="outset" w:sz="6" w:space="0" w:color="auto"/>
              <w:bottom w:val="outset" w:sz="6" w:space="0" w:color="auto"/>
              <w:right w:val="outset" w:sz="6" w:space="0" w:color="auto"/>
            </w:tcBorders>
            <w:hideMark/>
          </w:tcPr>
          <w:p w14:paraId="385784C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w:t>
            </w:r>
          </w:p>
        </w:tc>
      </w:tr>
      <w:tr w:rsidR="00E56A40" w:rsidRPr="00E56A40" w14:paraId="3AE1D83F"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5286F3A"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B3FEB5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kemferol</w:t>
            </w:r>
          </w:p>
        </w:tc>
        <w:tc>
          <w:tcPr>
            <w:tcW w:w="3225" w:type="dxa"/>
            <w:tcBorders>
              <w:top w:val="outset" w:sz="6" w:space="0" w:color="auto"/>
              <w:left w:val="outset" w:sz="6" w:space="0" w:color="auto"/>
              <w:bottom w:val="outset" w:sz="6" w:space="0" w:color="auto"/>
              <w:right w:val="outset" w:sz="6" w:space="0" w:color="auto"/>
            </w:tcBorders>
            <w:hideMark/>
          </w:tcPr>
          <w:p w14:paraId="1E338E2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[3], [4]</w:t>
            </w:r>
          </w:p>
        </w:tc>
      </w:tr>
      <w:tr w:rsidR="00E56A40" w:rsidRPr="00E56A40" w14:paraId="5EEC5FA5"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531AD73"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DD7CFF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salicylowy</w:t>
            </w:r>
          </w:p>
        </w:tc>
        <w:tc>
          <w:tcPr>
            <w:tcW w:w="3225" w:type="dxa"/>
            <w:tcBorders>
              <w:top w:val="outset" w:sz="6" w:space="0" w:color="auto"/>
              <w:left w:val="outset" w:sz="6" w:space="0" w:color="auto"/>
              <w:bottom w:val="outset" w:sz="6" w:space="0" w:color="auto"/>
              <w:right w:val="outset" w:sz="6" w:space="0" w:color="auto"/>
            </w:tcBorders>
            <w:hideMark/>
          </w:tcPr>
          <w:p w14:paraId="3B5249F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[4]</w:t>
            </w:r>
          </w:p>
        </w:tc>
      </w:tr>
      <w:tr w:rsidR="00E56A40" w:rsidRPr="00E56A40" w14:paraId="03B8B695"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D1E31C2"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7A6799C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3-O-β-D-glukopiranozyd kemferolu</w:t>
            </w:r>
          </w:p>
        </w:tc>
        <w:tc>
          <w:tcPr>
            <w:tcW w:w="3225" w:type="dxa"/>
            <w:tcBorders>
              <w:top w:val="outset" w:sz="6" w:space="0" w:color="auto"/>
              <w:left w:val="outset" w:sz="6" w:space="0" w:color="auto"/>
              <w:bottom w:val="outset" w:sz="6" w:space="0" w:color="auto"/>
              <w:right w:val="outset" w:sz="6" w:space="0" w:color="auto"/>
            </w:tcBorders>
            <w:hideMark/>
          </w:tcPr>
          <w:p w14:paraId="7383008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[4]</w:t>
            </w:r>
          </w:p>
        </w:tc>
      </w:tr>
      <w:tr w:rsidR="00E56A40" w:rsidRPr="00E56A40" w14:paraId="5A6817B3"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0411CC3"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CF94C3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gentyzynowy</w:t>
            </w:r>
          </w:p>
        </w:tc>
        <w:tc>
          <w:tcPr>
            <w:tcW w:w="3225" w:type="dxa"/>
            <w:tcBorders>
              <w:top w:val="outset" w:sz="6" w:space="0" w:color="auto"/>
              <w:left w:val="outset" w:sz="6" w:space="0" w:color="auto"/>
              <w:bottom w:val="outset" w:sz="6" w:space="0" w:color="auto"/>
              <w:right w:val="outset" w:sz="6" w:space="0" w:color="auto"/>
            </w:tcBorders>
            <w:hideMark/>
          </w:tcPr>
          <w:p w14:paraId="42EEB37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[4]</w:t>
            </w:r>
          </w:p>
        </w:tc>
      </w:tr>
      <w:tr w:rsidR="00E56A40" w:rsidRPr="00E56A40" w14:paraId="61296331"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66219B3"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C80C28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galusowy</w:t>
            </w:r>
          </w:p>
        </w:tc>
        <w:tc>
          <w:tcPr>
            <w:tcW w:w="3225" w:type="dxa"/>
            <w:tcBorders>
              <w:top w:val="outset" w:sz="6" w:space="0" w:color="auto"/>
              <w:left w:val="outset" w:sz="6" w:space="0" w:color="auto"/>
              <w:bottom w:val="outset" w:sz="6" w:space="0" w:color="auto"/>
              <w:right w:val="outset" w:sz="6" w:space="0" w:color="auto"/>
            </w:tcBorders>
            <w:hideMark/>
          </w:tcPr>
          <w:p w14:paraId="52B4122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[4]</w:t>
            </w:r>
          </w:p>
        </w:tc>
      </w:tr>
      <w:tr w:rsidR="00E56A40" w:rsidRPr="00E56A40" w14:paraId="45FB1851"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BCF46C4"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29DA794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pirogalol</w:t>
            </w:r>
          </w:p>
        </w:tc>
        <w:tc>
          <w:tcPr>
            <w:tcW w:w="3225" w:type="dxa"/>
            <w:tcBorders>
              <w:top w:val="outset" w:sz="6" w:space="0" w:color="auto"/>
              <w:left w:val="outset" w:sz="6" w:space="0" w:color="auto"/>
              <w:bottom w:val="outset" w:sz="6" w:space="0" w:color="auto"/>
              <w:right w:val="outset" w:sz="6" w:space="0" w:color="auto"/>
            </w:tcBorders>
            <w:hideMark/>
          </w:tcPr>
          <w:p w14:paraId="3D6AD1B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[4]</w:t>
            </w:r>
          </w:p>
        </w:tc>
      </w:tr>
      <w:tr w:rsidR="00E56A40" w:rsidRPr="00E56A40" w14:paraId="3416A9F3"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CE0AAED"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620A153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wanilina</w:t>
            </w:r>
          </w:p>
        </w:tc>
        <w:tc>
          <w:tcPr>
            <w:tcW w:w="3225" w:type="dxa"/>
            <w:tcBorders>
              <w:top w:val="outset" w:sz="6" w:space="0" w:color="auto"/>
              <w:left w:val="outset" w:sz="6" w:space="0" w:color="auto"/>
              <w:bottom w:val="outset" w:sz="6" w:space="0" w:color="auto"/>
              <w:right w:val="outset" w:sz="6" w:space="0" w:color="auto"/>
            </w:tcBorders>
            <w:hideMark/>
          </w:tcPr>
          <w:p w14:paraId="37DCFE5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[4]</w:t>
            </w:r>
          </w:p>
        </w:tc>
      </w:tr>
    </w:tbl>
    <w:p w14:paraId="64828E4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[1]</w:t>
      </w:r>
      <w:r w:rsidRPr="00FF4196">
        <w:rPr>
          <w:rFonts w:ascii="Times New Roman" w:eastAsia="Times New Roman" w:hAnsi="Times New Roman" w:cs="Times New Roman"/>
          <w:sz w:val="24"/>
          <w:szCs w:val="24"/>
          <w:lang w:val="en-US" w:eastAsia="pl-PL"/>
        </w:rPr>
        <w:t xml:space="preserve"> Kowalski R., 2004. Secondary metabolites in </w:t>
      </w:r>
      <w:r w:rsidRPr="00FF4196">
        <w:rPr>
          <w:rFonts w:ascii="Times New Roman" w:eastAsia="Times New Roman" w:hAnsi="Times New Roman" w:cs="Times New Roman"/>
          <w:i/>
          <w:iCs/>
          <w:sz w:val="24"/>
          <w:szCs w:val="24"/>
          <w:lang w:val="en-US" w:eastAsia="pl-PL"/>
        </w:rPr>
        <w:t>Silphium integrifolium</w:t>
      </w:r>
      <w:r w:rsidRPr="00FF4196">
        <w:rPr>
          <w:rFonts w:ascii="Times New Roman" w:eastAsia="Times New Roman" w:hAnsi="Times New Roman" w:cs="Times New Roman"/>
          <w:sz w:val="24"/>
          <w:szCs w:val="24"/>
          <w:lang w:val="en-US" w:eastAsia="pl-PL"/>
        </w:rPr>
        <w:t xml:space="preserve"> in the first 2 years of cultivation. New Zealand Journal of Crop and Horticultural Science 32, 397-406.</w:t>
      </w:r>
    </w:p>
    <w:p w14:paraId="7F99A3D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[2]</w:t>
      </w:r>
      <w:r w:rsidRPr="00FF4196">
        <w:rPr>
          <w:rFonts w:ascii="Times New Roman" w:eastAsia="Times New Roman" w:hAnsi="Times New Roman" w:cs="Times New Roman"/>
          <w:sz w:val="24"/>
          <w:szCs w:val="24"/>
          <w:lang w:val="en-US" w:eastAsia="pl-PL"/>
        </w:rPr>
        <w:t xml:space="preserve"> Kowalski R., Wolski T., 2003. TLC and HPLC analysis of the phenolic acids in </w:t>
      </w:r>
      <w:r w:rsidRPr="00FF4196">
        <w:rPr>
          <w:rFonts w:ascii="Times New Roman" w:eastAsia="Times New Roman" w:hAnsi="Times New Roman" w:cs="Times New Roman"/>
          <w:i/>
          <w:iCs/>
          <w:sz w:val="24"/>
          <w:szCs w:val="24"/>
          <w:lang w:val="en-US" w:eastAsia="pl-PL"/>
        </w:rPr>
        <w:t>Silphium perfoliatum</w:t>
      </w:r>
      <w:r w:rsidRPr="00FF4196">
        <w:rPr>
          <w:rFonts w:ascii="Times New Roman" w:eastAsia="Times New Roman" w:hAnsi="Times New Roman" w:cs="Times New Roman"/>
          <w:sz w:val="24"/>
          <w:szCs w:val="24"/>
          <w:lang w:val="en-US" w:eastAsia="pl-PL"/>
        </w:rPr>
        <w:t xml:space="preserve"> L. leaves, inflorescences and rhizomes. Journal of Planar Chromatography 16, 230-236.</w:t>
      </w:r>
    </w:p>
    <w:p w14:paraId="44306692"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[3]</w:t>
      </w:r>
      <w:r w:rsidRPr="00FF4196">
        <w:rPr>
          <w:rFonts w:ascii="Times New Roman" w:eastAsia="Times New Roman" w:hAnsi="Times New Roman" w:cs="Times New Roman"/>
          <w:sz w:val="24"/>
          <w:szCs w:val="24"/>
          <w:lang w:val="en-US" w:eastAsia="pl-PL"/>
        </w:rPr>
        <w:t xml:space="preserve"> El-Sayed N.H., Wojcińska M., Drost-Karbowska K., Matławska I., Williams J., Mabry T.J., 2002. Kaempferol triosides from </w:t>
      </w:r>
      <w:r w:rsidRPr="00FF4196">
        <w:rPr>
          <w:rFonts w:ascii="Times New Roman" w:eastAsia="Times New Roman" w:hAnsi="Times New Roman" w:cs="Times New Roman"/>
          <w:i/>
          <w:iCs/>
          <w:sz w:val="24"/>
          <w:szCs w:val="24"/>
          <w:lang w:val="en-US" w:eastAsia="pl-PL"/>
        </w:rPr>
        <w:t>Silphium perfoliatum.</w:t>
      </w:r>
      <w:r w:rsidRPr="00FF4196">
        <w:rPr>
          <w:rFonts w:ascii="Times New Roman" w:eastAsia="Times New Roman" w:hAnsi="Times New Roman" w:cs="Times New Roman"/>
          <w:sz w:val="24"/>
          <w:szCs w:val="24"/>
          <w:lang w:val="en-US" w:eastAsia="pl-PL"/>
        </w:rPr>
        <w:t>Phytochemistry 60, 835-838.</w:t>
      </w:r>
    </w:p>
    <w:p w14:paraId="0FDBD0A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b/>
          <w:bCs/>
          <w:sz w:val="24"/>
          <w:szCs w:val="24"/>
          <w:lang w:val="en-US" w:eastAsia="pl-PL"/>
        </w:rPr>
        <w:t>[4]</w:t>
      </w:r>
      <w:r w:rsidRPr="00FF4196">
        <w:rPr>
          <w:rFonts w:ascii="Times New Roman" w:eastAsia="Times New Roman" w:hAnsi="Times New Roman" w:cs="Times New Roman"/>
          <w:sz w:val="24"/>
          <w:szCs w:val="24"/>
          <w:lang w:val="en-US" w:eastAsia="pl-PL"/>
        </w:rPr>
        <w:t xml:space="preserve"> Feng W.S., Pei Y.Y., Zheng X.K., Li C.G., Ke Y.Y., Lv Y.Y., Zhang Y.L., 2014. A new kaempferol trioside from </w:t>
      </w:r>
      <w:r w:rsidRPr="00FF4196">
        <w:rPr>
          <w:rFonts w:ascii="Times New Roman" w:eastAsia="Times New Roman" w:hAnsi="Times New Roman" w:cs="Times New Roman"/>
          <w:i/>
          <w:iCs/>
          <w:sz w:val="24"/>
          <w:szCs w:val="24"/>
          <w:lang w:val="en-US" w:eastAsia="pl-PL"/>
        </w:rPr>
        <w:t>Silphium perfoliatum</w:t>
      </w:r>
      <w:r w:rsidRPr="00FF4196">
        <w:rPr>
          <w:rFonts w:ascii="Times New Roman" w:eastAsia="Times New Roman" w:hAnsi="Times New Roman" w:cs="Times New Roman"/>
          <w:sz w:val="24"/>
          <w:szCs w:val="24"/>
          <w:lang w:val="en-US" w:eastAsia="pl-PL"/>
        </w:rPr>
        <w:t xml:space="preserve">. J. Asian Nat. </w:t>
      </w:r>
      <w:r w:rsidRPr="00E56A40">
        <w:rPr>
          <w:rFonts w:ascii="Times New Roman" w:eastAsia="Times New Roman" w:hAnsi="Times New Roman" w:cs="Times New Roman"/>
          <w:sz w:val="24"/>
          <w:szCs w:val="24"/>
          <w:lang w:eastAsia="pl-PL"/>
        </w:rPr>
        <w:t>Prod. Res. .16(4), 393-399.</w:t>
      </w:r>
    </w:p>
    <w:p w14:paraId="7EE123F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25"/>
        <w:gridCol w:w="1666"/>
        <w:gridCol w:w="1720"/>
        <w:gridCol w:w="2333"/>
        <w:gridCol w:w="1712"/>
      </w:tblGrid>
      <w:tr w:rsidR="00E56A40" w:rsidRPr="00E56A40" w14:paraId="78742E62" w14:textId="77777777" w:rsidTr="00E56A4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14:paraId="1E2D672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Surowiec</w:t>
            </w:r>
          </w:p>
        </w:tc>
        <w:tc>
          <w:tcPr>
            <w:tcW w:w="2535" w:type="dxa"/>
            <w:tcBorders>
              <w:top w:val="outset" w:sz="6" w:space="0" w:color="auto"/>
              <w:left w:val="outset" w:sz="6" w:space="0" w:color="auto"/>
              <w:bottom w:val="outset" w:sz="6" w:space="0" w:color="auto"/>
              <w:right w:val="outset" w:sz="6" w:space="0" w:color="auto"/>
            </w:tcBorders>
            <w:hideMark/>
          </w:tcPr>
          <w:p w14:paraId="4EDB852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Zawartość polifenoli</w:t>
            </w:r>
          </w:p>
        </w:tc>
        <w:tc>
          <w:tcPr>
            <w:tcW w:w="2535" w:type="dxa"/>
            <w:tcBorders>
              <w:top w:val="outset" w:sz="6" w:space="0" w:color="auto"/>
              <w:left w:val="outset" w:sz="6" w:space="0" w:color="auto"/>
              <w:bottom w:val="outset" w:sz="6" w:space="0" w:color="auto"/>
              <w:right w:val="outset" w:sz="6" w:space="0" w:color="auto"/>
            </w:tcBorders>
            <w:hideMark/>
          </w:tcPr>
          <w:p w14:paraId="569033A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Zawartość flawonoidów</w:t>
            </w:r>
          </w:p>
        </w:tc>
        <w:tc>
          <w:tcPr>
            <w:tcW w:w="3120" w:type="dxa"/>
            <w:tcBorders>
              <w:top w:val="outset" w:sz="6" w:space="0" w:color="auto"/>
              <w:left w:val="outset" w:sz="6" w:space="0" w:color="auto"/>
              <w:bottom w:val="outset" w:sz="6" w:space="0" w:color="auto"/>
              <w:right w:val="outset" w:sz="6" w:space="0" w:color="auto"/>
            </w:tcBorders>
            <w:hideMark/>
          </w:tcPr>
          <w:p w14:paraId="7519C17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Aktywność przeciwutleniająca</w:t>
            </w:r>
          </w:p>
        </w:tc>
        <w:tc>
          <w:tcPr>
            <w:tcW w:w="2070" w:type="dxa"/>
            <w:tcBorders>
              <w:top w:val="outset" w:sz="6" w:space="0" w:color="auto"/>
              <w:left w:val="outset" w:sz="6" w:space="0" w:color="auto"/>
              <w:bottom w:val="outset" w:sz="6" w:space="0" w:color="auto"/>
              <w:right w:val="outset" w:sz="6" w:space="0" w:color="auto"/>
            </w:tcBorders>
            <w:hideMark/>
          </w:tcPr>
          <w:p w14:paraId="781FD67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Literatura</w:t>
            </w:r>
          </w:p>
        </w:tc>
      </w:tr>
      <w:tr w:rsidR="00E56A40" w:rsidRPr="00E56A40" w14:paraId="733A25C5" w14:textId="77777777" w:rsidTr="00E56A4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14:paraId="1C244FA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Helianthus tuberosus</w:t>
            </w:r>
            <w:r w:rsidRPr="00E56A40">
              <w:rPr>
                <w:rFonts w:ascii="Times New Roman" w:eastAsia="Times New Roman" w:hAnsi="Times New Roman" w:cs="Times New Roman"/>
                <w:sz w:val="24"/>
                <w:szCs w:val="24"/>
                <w:lang w:eastAsia="pl-PL"/>
              </w:rPr>
              <w:t xml:space="preserve"> (Słonecznik bulwiasty)</w:t>
            </w:r>
          </w:p>
        </w:tc>
        <w:tc>
          <w:tcPr>
            <w:tcW w:w="2535" w:type="dxa"/>
            <w:tcBorders>
              <w:top w:val="outset" w:sz="6" w:space="0" w:color="auto"/>
              <w:left w:val="outset" w:sz="6" w:space="0" w:color="auto"/>
              <w:bottom w:val="outset" w:sz="6" w:space="0" w:color="auto"/>
              <w:right w:val="outset" w:sz="6" w:space="0" w:color="auto"/>
            </w:tcBorders>
            <w:hideMark/>
          </w:tcPr>
          <w:p w14:paraId="380F87D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39-129 mg/100g FW</w:t>
            </w:r>
            <w:r w:rsidRPr="00E56A40">
              <w:rPr>
                <w:rFonts w:ascii="Times New Roman" w:eastAsia="Times New Roman" w:hAnsi="Times New Roman" w:cs="Times New Roman"/>
                <w:sz w:val="24"/>
                <w:szCs w:val="24"/>
                <w:vertAlign w:val="superscript"/>
                <w:lang w:eastAsia="pl-PL"/>
              </w:rPr>
              <w:t>1,4</w:t>
            </w:r>
          </w:p>
          <w:p w14:paraId="46DC01D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013FD68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c>
        <w:tc>
          <w:tcPr>
            <w:tcW w:w="2535" w:type="dxa"/>
            <w:tcBorders>
              <w:top w:val="outset" w:sz="6" w:space="0" w:color="auto"/>
              <w:left w:val="outset" w:sz="6" w:space="0" w:color="auto"/>
              <w:bottom w:val="outset" w:sz="6" w:space="0" w:color="auto"/>
              <w:right w:val="outset" w:sz="6" w:space="0" w:color="auto"/>
            </w:tcBorders>
            <w:hideMark/>
          </w:tcPr>
          <w:p w14:paraId="091498D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0,25-1,23 mg RU/ml</w:t>
            </w:r>
            <w:r w:rsidRPr="00E56A40">
              <w:rPr>
                <w:rFonts w:ascii="Times New Roman" w:eastAsia="Times New Roman" w:hAnsi="Times New Roman" w:cs="Times New Roman"/>
                <w:sz w:val="24"/>
                <w:szCs w:val="24"/>
                <w:vertAlign w:val="superscript"/>
                <w:lang w:eastAsia="pl-PL"/>
              </w:rPr>
              <w:t>2</w:t>
            </w:r>
          </w:p>
        </w:tc>
        <w:tc>
          <w:tcPr>
            <w:tcW w:w="3120" w:type="dxa"/>
            <w:tcBorders>
              <w:top w:val="outset" w:sz="6" w:space="0" w:color="auto"/>
              <w:left w:val="outset" w:sz="6" w:space="0" w:color="auto"/>
              <w:bottom w:val="outset" w:sz="6" w:space="0" w:color="auto"/>
              <w:right w:val="outset" w:sz="6" w:space="0" w:color="auto"/>
            </w:tcBorders>
            <w:hideMark/>
          </w:tcPr>
          <w:p w14:paraId="7638F7C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98-296 mg</w:t>
            </w:r>
          </w:p>
          <w:p w14:paraId="02867A0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ekwiwalentu kw. askorbinowego/100 g</w:t>
            </w:r>
            <w:r w:rsidRPr="00E56A40">
              <w:rPr>
                <w:rFonts w:ascii="Times New Roman" w:eastAsia="Times New Roman" w:hAnsi="Times New Roman" w:cs="Times New Roman"/>
                <w:sz w:val="24"/>
                <w:szCs w:val="24"/>
                <w:vertAlign w:val="superscript"/>
                <w:lang w:eastAsia="pl-PL"/>
              </w:rPr>
              <w:t>1</w:t>
            </w:r>
          </w:p>
          <w:p w14:paraId="7C05246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6C5281E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344E367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IC</w:t>
            </w:r>
            <w:r w:rsidRPr="00E56A40">
              <w:rPr>
                <w:rFonts w:ascii="Times New Roman" w:eastAsia="Times New Roman" w:hAnsi="Times New Roman" w:cs="Times New Roman"/>
                <w:sz w:val="24"/>
                <w:szCs w:val="24"/>
                <w:vertAlign w:val="subscript"/>
                <w:lang w:eastAsia="pl-PL"/>
              </w:rPr>
              <w:t>50</w:t>
            </w:r>
            <w:r w:rsidRPr="00E56A40">
              <w:rPr>
                <w:rFonts w:ascii="Times New Roman" w:eastAsia="Times New Roman" w:hAnsi="Times New Roman" w:cs="Times New Roman"/>
                <w:sz w:val="24"/>
                <w:szCs w:val="24"/>
                <w:lang w:eastAsia="pl-PL"/>
              </w:rPr>
              <w:t> = 304,74-11,01 μg/ml (DPPH)</w:t>
            </w:r>
          </w:p>
          <w:p w14:paraId="378D1C7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50,33-2,54 μg/ml (ABTS</w:t>
            </w:r>
            <w:r w:rsidRPr="00E56A40">
              <w:rPr>
                <w:rFonts w:ascii="Times New Roman" w:eastAsia="Times New Roman" w:hAnsi="Times New Roman" w:cs="Times New Roman"/>
                <w:sz w:val="24"/>
                <w:szCs w:val="24"/>
                <w:vertAlign w:val="superscript"/>
                <w:lang w:eastAsia="pl-PL"/>
              </w:rPr>
              <w:t>+</w:t>
            </w:r>
            <w:r w:rsidRPr="00E56A40">
              <w:rPr>
                <w:rFonts w:ascii="Times New Roman" w:eastAsia="Times New Roman" w:hAnsi="Times New Roman" w:cs="Times New Roman"/>
                <w:sz w:val="24"/>
                <w:szCs w:val="24"/>
                <w:lang w:eastAsia="pl-PL"/>
              </w:rPr>
              <w:t>)</w:t>
            </w:r>
            <w:r w:rsidRPr="00E56A40">
              <w:rPr>
                <w:rFonts w:ascii="Times New Roman" w:eastAsia="Times New Roman" w:hAnsi="Times New Roman" w:cs="Times New Roman"/>
                <w:sz w:val="24"/>
                <w:szCs w:val="24"/>
                <w:vertAlign w:val="superscript"/>
                <w:lang w:eastAsia="pl-PL"/>
              </w:rPr>
              <w:t>3</w:t>
            </w:r>
          </w:p>
        </w:tc>
        <w:tc>
          <w:tcPr>
            <w:tcW w:w="2070" w:type="dxa"/>
            <w:tcBorders>
              <w:top w:val="outset" w:sz="6" w:space="0" w:color="auto"/>
              <w:left w:val="outset" w:sz="6" w:space="0" w:color="auto"/>
              <w:bottom w:val="outset" w:sz="6" w:space="0" w:color="auto"/>
              <w:right w:val="outset" w:sz="6" w:space="0" w:color="auto"/>
            </w:tcBorders>
            <w:hideMark/>
          </w:tcPr>
          <w:p w14:paraId="3B8A173D" w14:textId="77777777" w:rsidR="00E56A40" w:rsidRPr="00FF4196"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vertAlign w:val="superscript"/>
                <w:lang w:val="en-US" w:eastAsia="pl-PL"/>
              </w:rPr>
              <w:t>1</w:t>
            </w:r>
            <w:r w:rsidRPr="00FF4196">
              <w:rPr>
                <w:rFonts w:ascii="Times New Roman" w:eastAsia="Times New Roman" w:hAnsi="Times New Roman" w:cs="Times New Roman"/>
                <w:sz w:val="24"/>
                <w:szCs w:val="24"/>
                <w:lang w:val="en-US" w:eastAsia="pl-PL"/>
              </w:rPr>
              <w:t>Seljåsen, Slimestad (2007);</w:t>
            </w:r>
          </w:p>
          <w:p w14:paraId="3BAA4B5D" w14:textId="77777777" w:rsidR="00E56A40" w:rsidRPr="00FF4196"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vertAlign w:val="superscript"/>
                <w:lang w:val="en-US" w:eastAsia="pl-PL"/>
              </w:rPr>
              <w:t>4</w:t>
            </w:r>
            <w:r w:rsidRPr="00FF4196">
              <w:rPr>
                <w:rFonts w:ascii="Times New Roman" w:eastAsia="Times New Roman" w:hAnsi="Times New Roman" w:cs="Times New Roman"/>
                <w:sz w:val="24"/>
                <w:szCs w:val="24"/>
                <w:lang w:val="en-US" w:eastAsia="pl-PL"/>
              </w:rPr>
              <w:t>Takeuchi, Nagashima (2011);</w:t>
            </w:r>
          </w:p>
          <w:p w14:paraId="0F19FE3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vertAlign w:val="superscript"/>
                <w:lang w:val="en-US" w:eastAsia="pl-PL"/>
              </w:rPr>
              <w:t>3</w:t>
            </w:r>
            <w:r w:rsidRPr="00FF4196">
              <w:rPr>
                <w:rFonts w:ascii="Times New Roman" w:eastAsia="Times New Roman" w:hAnsi="Times New Roman" w:cs="Times New Roman"/>
                <w:sz w:val="24"/>
                <w:szCs w:val="24"/>
                <w:lang w:val="en-US" w:eastAsia="pl-PL"/>
              </w:rPr>
              <w:t xml:space="preserve">Yuan i in. </w:t>
            </w:r>
            <w:r w:rsidRPr="00E56A40">
              <w:rPr>
                <w:rFonts w:ascii="Times New Roman" w:eastAsia="Times New Roman" w:hAnsi="Times New Roman" w:cs="Times New Roman"/>
                <w:sz w:val="24"/>
                <w:szCs w:val="24"/>
                <w:lang w:eastAsia="pl-PL"/>
              </w:rPr>
              <w:t xml:space="preserve">(2012); </w:t>
            </w:r>
            <w:r w:rsidRPr="00E56A40">
              <w:rPr>
                <w:rFonts w:ascii="Times New Roman" w:eastAsia="Times New Roman" w:hAnsi="Times New Roman" w:cs="Times New Roman"/>
                <w:sz w:val="24"/>
                <w:szCs w:val="24"/>
                <w:vertAlign w:val="superscript"/>
                <w:lang w:eastAsia="pl-PL"/>
              </w:rPr>
              <w:t>2</w:t>
            </w:r>
            <w:r w:rsidRPr="00E56A40">
              <w:rPr>
                <w:rFonts w:ascii="Times New Roman" w:eastAsia="Times New Roman" w:hAnsi="Times New Roman" w:cs="Times New Roman"/>
                <w:sz w:val="24"/>
                <w:szCs w:val="24"/>
                <w:lang w:eastAsia="pl-PL"/>
              </w:rPr>
              <w:t>Mašković i in. (2017)</w:t>
            </w:r>
          </w:p>
        </w:tc>
      </w:tr>
      <w:tr w:rsidR="00E56A40" w:rsidRPr="00E56A40" w14:paraId="0270893F" w14:textId="77777777" w:rsidTr="00E56A4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14:paraId="18C7F3B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49DCDAB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r w:rsidRPr="00E56A40">
              <w:rPr>
                <w:rFonts w:ascii="Times New Roman" w:eastAsia="Times New Roman" w:hAnsi="Times New Roman" w:cs="Times New Roman"/>
                <w:b/>
                <w:bCs/>
                <w:i/>
                <w:iCs/>
                <w:sz w:val="24"/>
                <w:szCs w:val="24"/>
                <w:lang w:eastAsia="pl-PL"/>
              </w:rPr>
              <w:t xml:space="preserve">Silphium perfoliatum </w:t>
            </w:r>
            <w:r w:rsidRPr="00E56A40">
              <w:rPr>
                <w:rFonts w:ascii="Times New Roman" w:eastAsia="Times New Roman" w:hAnsi="Times New Roman" w:cs="Times New Roman"/>
                <w:sz w:val="24"/>
                <w:szCs w:val="24"/>
                <w:lang w:eastAsia="pl-PL"/>
              </w:rPr>
              <w:t>(Rożnik przerośnięty)</w:t>
            </w:r>
          </w:p>
          <w:p w14:paraId="38BE88C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 </w:t>
            </w:r>
          </w:p>
          <w:p w14:paraId="0091F0E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c>
        <w:tc>
          <w:tcPr>
            <w:tcW w:w="2535" w:type="dxa"/>
            <w:tcBorders>
              <w:top w:val="outset" w:sz="6" w:space="0" w:color="auto"/>
              <w:left w:val="outset" w:sz="6" w:space="0" w:color="auto"/>
              <w:bottom w:val="outset" w:sz="6" w:space="0" w:color="auto"/>
              <w:right w:val="outset" w:sz="6" w:space="0" w:color="auto"/>
            </w:tcBorders>
            <w:hideMark/>
          </w:tcPr>
          <w:p w14:paraId="79D42AC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28,04 mg ekwiwalentu kw. kawowego /ml</w:t>
            </w:r>
            <w:r w:rsidRPr="00E56A40">
              <w:rPr>
                <w:rFonts w:ascii="Times New Roman" w:eastAsia="Times New Roman" w:hAnsi="Times New Roman" w:cs="Times New Roman"/>
                <w:sz w:val="24"/>
                <w:szCs w:val="24"/>
                <w:vertAlign w:val="superscript"/>
                <w:lang w:eastAsia="pl-PL"/>
              </w:rPr>
              <w:t>1</w:t>
            </w:r>
          </w:p>
          <w:p w14:paraId="5B7B0CF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1AACFC9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 </w:t>
            </w:r>
          </w:p>
          <w:p w14:paraId="796290F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36,0 mg/g</w:t>
            </w:r>
            <w:r w:rsidRPr="00E56A40">
              <w:rPr>
                <w:rFonts w:ascii="Times New Roman" w:eastAsia="Times New Roman" w:hAnsi="Times New Roman" w:cs="Times New Roman"/>
                <w:sz w:val="24"/>
                <w:szCs w:val="24"/>
                <w:vertAlign w:val="superscript"/>
                <w:lang w:eastAsia="pl-PL"/>
              </w:rPr>
              <w:t>2</w:t>
            </w:r>
          </w:p>
          <w:p w14:paraId="5560D78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7F38667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31C01E6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18,98-23,72 mg/100 g s.s.</w:t>
            </w:r>
            <w:r w:rsidRPr="00E56A40">
              <w:rPr>
                <w:rFonts w:ascii="Times New Roman" w:eastAsia="Times New Roman" w:hAnsi="Times New Roman" w:cs="Times New Roman"/>
                <w:sz w:val="24"/>
                <w:szCs w:val="24"/>
                <w:vertAlign w:val="superscript"/>
                <w:lang w:eastAsia="pl-PL"/>
              </w:rPr>
              <w:t>3</w:t>
            </w:r>
          </w:p>
        </w:tc>
        <w:tc>
          <w:tcPr>
            <w:tcW w:w="2535" w:type="dxa"/>
            <w:tcBorders>
              <w:top w:val="outset" w:sz="6" w:space="0" w:color="auto"/>
              <w:left w:val="outset" w:sz="6" w:space="0" w:color="auto"/>
              <w:bottom w:val="outset" w:sz="6" w:space="0" w:color="auto"/>
              <w:right w:val="outset" w:sz="6" w:space="0" w:color="auto"/>
            </w:tcBorders>
            <w:hideMark/>
          </w:tcPr>
          <w:p w14:paraId="325B255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7,40 mg QE/ml</w:t>
            </w:r>
            <w:r w:rsidRPr="00E56A40">
              <w:rPr>
                <w:rFonts w:ascii="Times New Roman" w:eastAsia="Times New Roman" w:hAnsi="Times New Roman" w:cs="Times New Roman"/>
                <w:sz w:val="24"/>
                <w:szCs w:val="24"/>
                <w:vertAlign w:val="superscript"/>
                <w:lang w:eastAsia="pl-PL"/>
              </w:rPr>
              <w:t>1</w:t>
            </w:r>
          </w:p>
          <w:p w14:paraId="6DB559B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613FC82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66ED5D3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3B1D44B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 </w:t>
            </w:r>
          </w:p>
          <w:p w14:paraId="6CE3175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c>
        <w:tc>
          <w:tcPr>
            <w:tcW w:w="3120" w:type="dxa"/>
            <w:tcBorders>
              <w:top w:val="outset" w:sz="6" w:space="0" w:color="auto"/>
              <w:left w:val="outset" w:sz="6" w:space="0" w:color="auto"/>
              <w:bottom w:val="outset" w:sz="6" w:space="0" w:color="auto"/>
              <w:right w:val="outset" w:sz="6" w:space="0" w:color="auto"/>
            </w:tcBorders>
            <w:hideMark/>
          </w:tcPr>
          <w:p w14:paraId="5F038181" w14:textId="77777777" w:rsidR="00E56A40" w:rsidRPr="00FF4196"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lastRenderedPageBreak/>
              <w:t>75,71% (1,2 mg/ml; DPPH),</w:t>
            </w:r>
          </w:p>
          <w:p w14:paraId="248C197E" w14:textId="77777777" w:rsidR="00E56A40" w:rsidRPr="00FF4196"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98,06 (1,6 mg/ml; ABTS</w:t>
            </w:r>
            <w:r w:rsidRPr="00FF4196">
              <w:rPr>
                <w:rFonts w:ascii="Times New Roman" w:eastAsia="Times New Roman" w:hAnsi="Times New Roman" w:cs="Times New Roman"/>
                <w:sz w:val="24"/>
                <w:szCs w:val="24"/>
                <w:vertAlign w:val="superscript"/>
                <w:lang w:val="en-US" w:eastAsia="pl-PL"/>
              </w:rPr>
              <w:t>+</w:t>
            </w:r>
            <w:r w:rsidRPr="00FF4196">
              <w:rPr>
                <w:rFonts w:ascii="Times New Roman" w:eastAsia="Times New Roman" w:hAnsi="Times New Roman" w:cs="Times New Roman"/>
                <w:sz w:val="24"/>
                <w:szCs w:val="24"/>
                <w:lang w:val="en-US" w:eastAsia="pl-PL"/>
              </w:rPr>
              <w:t>)</w:t>
            </w:r>
            <w:r w:rsidRPr="00FF4196">
              <w:rPr>
                <w:rFonts w:ascii="Times New Roman" w:eastAsia="Times New Roman" w:hAnsi="Times New Roman" w:cs="Times New Roman"/>
                <w:sz w:val="24"/>
                <w:szCs w:val="24"/>
                <w:vertAlign w:val="superscript"/>
                <w:lang w:val="en-US" w:eastAsia="pl-PL"/>
              </w:rPr>
              <w:t>4</w:t>
            </w:r>
          </w:p>
        </w:tc>
        <w:tc>
          <w:tcPr>
            <w:tcW w:w="2070" w:type="dxa"/>
            <w:tcBorders>
              <w:top w:val="outset" w:sz="6" w:space="0" w:color="auto"/>
              <w:left w:val="outset" w:sz="6" w:space="0" w:color="auto"/>
              <w:bottom w:val="outset" w:sz="6" w:space="0" w:color="auto"/>
              <w:right w:val="outset" w:sz="6" w:space="0" w:color="auto"/>
            </w:tcBorders>
            <w:hideMark/>
          </w:tcPr>
          <w:p w14:paraId="2DBAB24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vertAlign w:val="superscript"/>
                <w:lang w:eastAsia="pl-PL"/>
              </w:rPr>
              <w:t>1</w:t>
            </w:r>
            <w:r w:rsidRPr="00E56A40">
              <w:rPr>
                <w:rFonts w:ascii="Times New Roman" w:eastAsia="Times New Roman" w:hAnsi="Times New Roman" w:cs="Times New Roman"/>
                <w:sz w:val="24"/>
                <w:szCs w:val="24"/>
                <w:lang w:eastAsia="pl-PL"/>
              </w:rPr>
              <w:t>Jamiołkowska, Kowalski (2012),</w:t>
            </w:r>
          </w:p>
          <w:p w14:paraId="6E55BD1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vertAlign w:val="superscript"/>
                <w:lang w:eastAsia="pl-PL"/>
              </w:rPr>
              <w:t>2</w:t>
            </w:r>
            <w:r w:rsidRPr="00E56A40">
              <w:rPr>
                <w:rFonts w:ascii="Times New Roman" w:eastAsia="Times New Roman" w:hAnsi="Times New Roman" w:cs="Times New Roman"/>
                <w:sz w:val="24"/>
                <w:szCs w:val="24"/>
                <w:lang w:eastAsia="pl-PL"/>
              </w:rPr>
              <w:t>Kowalski, Kędzia (2007),</w:t>
            </w:r>
          </w:p>
          <w:p w14:paraId="6A43BB6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vertAlign w:val="superscript"/>
                <w:lang w:eastAsia="pl-PL"/>
              </w:rPr>
              <w:lastRenderedPageBreak/>
              <w:t>3</w:t>
            </w:r>
            <w:r w:rsidRPr="00E56A40">
              <w:rPr>
                <w:rFonts w:ascii="Times New Roman" w:eastAsia="Times New Roman" w:hAnsi="Times New Roman" w:cs="Times New Roman"/>
                <w:sz w:val="24"/>
                <w:szCs w:val="24"/>
                <w:lang w:eastAsia="pl-PL"/>
              </w:rPr>
              <w:t>Kowalski, Wolski (2003),</w:t>
            </w:r>
          </w:p>
          <w:p w14:paraId="437A148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vertAlign w:val="superscript"/>
                <w:lang w:eastAsia="pl-PL"/>
              </w:rPr>
              <w:t>4</w:t>
            </w:r>
            <w:r w:rsidRPr="00E56A40">
              <w:rPr>
                <w:rFonts w:ascii="Times New Roman" w:eastAsia="Times New Roman" w:hAnsi="Times New Roman" w:cs="Times New Roman"/>
                <w:sz w:val="24"/>
                <w:szCs w:val="24"/>
                <w:lang w:eastAsia="pl-PL"/>
              </w:rPr>
              <w:t>Shang i in. (2017)</w:t>
            </w:r>
          </w:p>
          <w:p w14:paraId="3D73116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c>
      </w:tr>
    </w:tbl>
    <w:p w14:paraId="324DF906"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lastRenderedPageBreak/>
        <w:t xml:space="preserve">R. Seljåsen, R. Slimestad. Fructooligosaccharides and phenolics in flesh and peel of spring harvested </w:t>
      </w:r>
      <w:r w:rsidRPr="00FF4196">
        <w:rPr>
          <w:rFonts w:ascii="Times New Roman" w:eastAsia="Times New Roman" w:hAnsi="Times New Roman" w:cs="Times New Roman"/>
          <w:i/>
          <w:iCs/>
          <w:sz w:val="24"/>
          <w:szCs w:val="24"/>
          <w:lang w:val="en-US" w:eastAsia="pl-PL"/>
        </w:rPr>
        <w:t>Helianthus tuberosus</w:t>
      </w:r>
      <w:r w:rsidRPr="00FF4196">
        <w:rPr>
          <w:rFonts w:ascii="Times New Roman" w:eastAsia="Times New Roman" w:hAnsi="Times New Roman" w:cs="Times New Roman"/>
          <w:sz w:val="24"/>
          <w:szCs w:val="24"/>
          <w:lang w:val="en-US" w:eastAsia="pl-PL"/>
        </w:rPr>
        <w:t>. Y. Desjardins (Ed.), Proceedings of the 1st International Symposium on Human Health Effects of Fruits and Vegetables (2007), Vol. 744, pp. 447–450.</w:t>
      </w:r>
    </w:p>
    <w:p w14:paraId="74572B6D"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Takeuchi J., Nagashima T.. Preparation of dried chips from Jerusalem artichoke (</w:t>
      </w:r>
      <w:r w:rsidRPr="00FF4196">
        <w:rPr>
          <w:rFonts w:ascii="Times New Roman" w:eastAsia="Times New Roman" w:hAnsi="Times New Roman" w:cs="Times New Roman"/>
          <w:i/>
          <w:iCs/>
          <w:sz w:val="24"/>
          <w:szCs w:val="24"/>
          <w:lang w:val="en-US" w:eastAsia="pl-PL"/>
        </w:rPr>
        <w:t>Helianthus tuberosus</w:t>
      </w:r>
      <w:r w:rsidRPr="00FF4196">
        <w:rPr>
          <w:rFonts w:ascii="Times New Roman" w:eastAsia="Times New Roman" w:hAnsi="Times New Roman" w:cs="Times New Roman"/>
          <w:sz w:val="24"/>
          <w:szCs w:val="24"/>
          <w:lang w:val="en-US" w:eastAsia="pl-PL"/>
        </w:rPr>
        <w:t>) tubers and analysis of their functional properties. Food Chem., 126 (2011), pp. 922-926.</w:t>
      </w:r>
    </w:p>
    <w:p w14:paraId="4F29FA0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Yuan X., Gao M., Xiao H., Tan C., Du Y., 2012. Free radical scavenging activities and bioactive substances of Jerusalem artichoke (Helianthus tuberosus L.) leaves. Food Chemistry 133, 10-14.</w:t>
      </w:r>
    </w:p>
    <w:p w14:paraId="186A652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Mašković P., Đurović S., Radojković M., Đukić D., Mandić L., Zelenika M., Đurović V., CHEMICAL PROFILE AND ANTIOXIDANT ACTIVITY OF </w:t>
      </w:r>
      <w:r w:rsidRPr="00FF4196">
        <w:rPr>
          <w:rFonts w:ascii="Times New Roman" w:eastAsia="Times New Roman" w:hAnsi="Times New Roman" w:cs="Times New Roman"/>
          <w:i/>
          <w:iCs/>
          <w:sz w:val="24"/>
          <w:szCs w:val="24"/>
          <w:lang w:val="en-US" w:eastAsia="pl-PL"/>
        </w:rPr>
        <w:t>HELIANTHUS TUBEROSUS</w:t>
      </w:r>
      <w:r w:rsidRPr="00FF4196">
        <w:rPr>
          <w:rFonts w:ascii="Times New Roman" w:eastAsia="Times New Roman" w:hAnsi="Times New Roman" w:cs="Times New Roman"/>
          <w:sz w:val="24"/>
          <w:szCs w:val="24"/>
          <w:lang w:val="en-US" w:eastAsia="pl-PL"/>
        </w:rPr>
        <w:t>. Zbornik radova, Knjiga 2, 2017.</w:t>
      </w:r>
    </w:p>
    <w:p w14:paraId="44B7EF0C"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Kowalski R., Kędzia B., 2007. Antibacterial Activity of </w:t>
      </w:r>
      <w:r w:rsidRPr="00FF4196">
        <w:rPr>
          <w:rFonts w:ascii="Times New Roman" w:eastAsia="Times New Roman" w:hAnsi="Times New Roman" w:cs="Times New Roman"/>
          <w:i/>
          <w:iCs/>
          <w:sz w:val="24"/>
          <w:szCs w:val="24"/>
          <w:lang w:val="en-US" w:eastAsia="pl-PL"/>
        </w:rPr>
        <w:t>Silphium perfoliatum</w:t>
      </w:r>
      <w:r w:rsidRPr="00FF4196">
        <w:rPr>
          <w:rFonts w:ascii="Times New Roman" w:eastAsia="Times New Roman" w:hAnsi="Times New Roman" w:cs="Times New Roman"/>
          <w:sz w:val="24"/>
          <w:szCs w:val="24"/>
          <w:lang w:val="en-US" w:eastAsia="pl-PL"/>
        </w:rPr>
        <w:t>. Extracts, Pharmaceutical Biology, 45:6, 494-500.</w:t>
      </w:r>
    </w:p>
    <w:p w14:paraId="5F5A83B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Jamiołkowska A, Kowalski R., 2012.  In vitro estimate of influence of </w:t>
      </w:r>
      <w:r w:rsidRPr="00FF4196">
        <w:rPr>
          <w:rFonts w:ascii="Times New Roman" w:eastAsia="Times New Roman" w:hAnsi="Times New Roman" w:cs="Times New Roman"/>
          <w:i/>
          <w:iCs/>
          <w:sz w:val="24"/>
          <w:szCs w:val="24"/>
          <w:lang w:val="en-US" w:eastAsia="pl-PL"/>
        </w:rPr>
        <w:t>Silphium perfoliatum</w:t>
      </w:r>
      <w:r w:rsidRPr="00FF4196">
        <w:rPr>
          <w:rFonts w:ascii="Times New Roman" w:eastAsia="Times New Roman" w:hAnsi="Times New Roman" w:cs="Times New Roman"/>
          <w:sz w:val="24"/>
          <w:szCs w:val="24"/>
          <w:lang w:val="en-US" w:eastAsia="pl-PL"/>
        </w:rPr>
        <w:t xml:space="preserve"> L. leaves extract on some fungi colonizing the pepper plants. Acta Sci. Pol., Hortorum Cultus 11(3), 43-55.</w:t>
      </w:r>
    </w:p>
    <w:p w14:paraId="2E7AD918"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Kowalski R., Wolski T., 2003. Evaluation of phenolic acid content in </w:t>
      </w:r>
      <w:r w:rsidRPr="00FF4196">
        <w:rPr>
          <w:rFonts w:ascii="Times New Roman" w:eastAsia="Times New Roman" w:hAnsi="Times New Roman" w:cs="Times New Roman"/>
          <w:i/>
          <w:iCs/>
          <w:sz w:val="24"/>
          <w:szCs w:val="24"/>
          <w:lang w:val="en-US" w:eastAsia="pl-PL"/>
        </w:rPr>
        <w:t>Silphium perfoliatum</w:t>
      </w:r>
      <w:r w:rsidRPr="00FF4196">
        <w:rPr>
          <w:rFonts w:ascii="Times New Roman" w:eastAsia="Times New Roman" w:hAnsi="Times New Roman" w:cs="Times New Roman"/>
          <w:sz w:val="24"/>
          <w:szCs w:val="24"/>
          <w:lang w:val="en-US" w:eastAsia="pl-PL"/>
        </w:rPr>
        <w:t xml:space="preserve"> L. leaves, inflorescences and rhizomes. Electronic Journal of Polish Agricultural Universities, 6.</w:t>
      </w:r>
    </w:p>
    <w:p w14:paraId="39E7459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lang w:val="en-US" w:eastAsia="pl-PL"/>
        </w:rPr>
        <w:t>Shang H.M., Zhou H.Z., Li R., Duan M.Y., Wu H.X., Lou Y.J., 2017. Extraction optimization and influences of drying methods on antioxidant activities of polysaccharide from cup plant (</w:t>
      </w:r>
      <w:r w:rsidRPr="00FF4196">
        <w:rPr>
          <w:rFonts w:ascii="Times New Roman" w:eastAsia="Times New Roman" w:hAnsi="Times New Roman" w:cs="Times New Roman"/>
          <w:i/>
          <w:iCs/>
          <w:sz w:val="24"/>
          <w:szCs w:val="24"/>
          <w:lang w:val="en-US" w:eastAsia="pl-PL"/>
        </w:rPr>
        <w:t>Silphium perfoliatum</w:t>
      </w:r>
      <w:r w:rsidRPr="00FF4196">
        <w:rPr>
          <w:rFonts w:ascii="Times New Roman" w:eastAsia="Times New Roman" w:hAnsi="Times New Roman" w:cs="Times New Roman"/>
          <w:sz w:val="24"/>
          <w:szCs w:val="24"/>
          <w:lang w:val="en-US" w:eastAsia="pl-PL"/>
        </w:rPr>
        <w:t xml:space="preserve"> L.). </w:t>
      </w:r>
      <w:r w:rsidRPr="00E56A40">
        <w:rPr>
          <w:rFonts w:ascii="Times New Roman" w:eastAsia="Times New Roman" w:hAnsi="Times New Roman" w:cs="Times New Roman"/>
          <w:sz w:val="24"/>
          <w:szCs w:val="24"/>
          <w:lang w:eastAsia="pl-PL"/>
        </w:rPr>
        <w:t>PLoS One. 24, 12(8).</w:t>
      </w:r>
    </w:p>
    <w:p w14:paraId="78664DF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8"/>
        <w:gridCol w:w="4538"/>
        <w:gridCol w:w="2530"/>
      </w:tblGrid>
      <w:tr w:rsidR="00E56A40" w:rsidRPr="00E56A40" w14:paraId="571BD6B7" w14:textId="77777777" w:rsidTr="00E56A40">
        <w:trPr>
          <w:tblCellSpacing w:w="0" w:type="dxa"/>
        </w:trPr>
        <w:tc>
          <w:tcPr>
            <w:tcW w:w="2310" w:type="dxa"/>
            <w:tcBorders>
              <w:top w:val="outset" w:sz="6" w:space="0" w:color="auto"/>
              <w:left w:val="outset" w:sz="6" w:space="0" w:color="auto"/>
              <w:bottom w:val="outset" w:sz="6" w:space="0" w:color="auto"/>
              <w:right w:val="outset" w:sz="6" w:space="0" w:color="auto"/>
            </w:tcBorders>
            <w:hideMark/>
          </w:tcPr>
          <w:p w14:paraId="07CA8DF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Biomasa)</w:t>
            </w:r>
          </w:p>
        </w:tc>
        <w:tc>
          <w:tcPr>
            <w:tcW w:w="5850" w:type="dxa"/>
            <w:tcBorders>
              <w:top w:val="outset" w:sz="6" w:space="0" w:color="auto"/>
              <w:left w:val="outset" w:sz="6" w:space="0" w:color="auto"/>
              <w:bottom w:val="outset" w:sz="6" w:space="0" w:color="auto"/>
              <w:right w:val="outset" w:sz="6" w:space="0" w:color="auto"/>
            </w:tcBorders>
            <w:hideMark/>
          </w:tcPr>
          <w:p w14:paraId="00B6343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Związek chemiczny</w:t>
            </w:r>
          </w:p>
        </w:tc>
        <w:tc>
          <w:tcPr>
            <w:tcW w:w="3225" w:type="dxa"/>
            <w:tcBorders>
              <w:top w:val="outset" w:sz="6" w:space="0" w:color="auto"/>
              <w:left w:val="outset" w:sz="6" w:space="0" w:color="auto"/>
              <w:bottom w:val="outset" w:sz="6" w:space="0" w:color="auto"/>
              <w:right w:val="outset" w:sz="6" w:space="0" w:color="auto"/>
            </w:tcBorders>
            <w:hideMark/>
          </w:tcPr>
          <w:p w14:paraId="68FD43B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Literatura</w:t>
            </w:r>
          </w:p>
        </w:tc>
      </w:tr>
      <w:tr w:rsidR="00E56A40" w:rsidRPr="00E56A40" w14:paraId="218A5D1A" w14:textId="77777777" w:rsidTr="00E56A40">
        <w:trPr>
          <w:tblCellSpacing w:w="0" w:type="dxa"/>
        </w:trPr>
        <w:tc>
          <w:tcPr>
            <w:tcW w:w="2310" w:type="dxa"/>
            <w:vMerge w:val="restart"/>
            <w:tcBorders>
              <w:top w:val="outset" w:sz="6" w:space="0" w:color="auto"/>
              <w:left w:val="outset" w:sz="6" w:space="0" w:color="auto"/>
              <w:bottom w:val="outset" w:sz="6" w:space="0" w:color="auto"/>
              <w:right w:val="outset" w:sz="6" w:space="0" w:color="auto"/>
            </w:tcBorders>
            <w:hideMark/>
          </w:tcPr>
          <w:p w14:paraId="62090CD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 </w:t>
            </w:r>
          </w:p>
          <w:p w14:paraId="103F40B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 </w:t>
            </w:r>
          </w:p>
          <w:p w14:paraId="65A2A2C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lastRenderedPageBreak/>
              <w:t> </w:t>
            </w:r>
          </w:p>
          <w:p w14:paraId="2B4C185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 </w:t>
            </w:r>
          </w:p>
          <w:p w14:paraId="214DBBB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 </w:t>
            </w:r>
          </w:p>
          <w:p w14:paraId="3E26F84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Miskant olbrzymi</w:t>
            </w:r>
          </w:p>
          <w:p w14:paraId="780EA5D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 (Miscanthus giganteus)</w:t>
            </w:r>
          </w:p>
          <w:p w14:paraId="64FDD75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 </w:t>
            </w:r>
          </w:p>
        </w:tc>
        <w:tc>
          <w:tcPr>
            <w:tcW w:w="5850" w:type="dxa"/>
            <w:tcBorders>
              <w:top w:val="outset" w:sz="6" w:space="0" w:color="auto"/>
              <w:left w:val="outset" w:sz="6" w:space="0" w:color="auto"/>
              <w:bottom w:val="outset" w:sz="6" w:space="0" w:color="auto"/>
              <w:right w:val="outset" w:sz="6" w:space="0" w:color="auto"/>
            </w:tcBorders>
            <w:hideMark/>
          </w:tcPr>
          <w:p w14:paraId="793C011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kwas 3-, 4-, 5-kawoilochinowy</w:t>
            </w:r>
          </w:p>
        </w:tc>
        <w:tc>
          <w:tcPr>
            <w:tcW w:w="3225" w:type="dxa"/>
            <w:tcBorders>
              <w:top w:val="outset" w:sz="6" w:space="0" w:color="auto"/>
              <w:left w:val="outset" w:sz="6" w:space="0" w:color="auto"/>
              <w:bottom w:val="outset" w:sz="6" w:space="0" w:color="auto"/>
              <w:right w:val="outset" w:sz="6" w:space="0" w:color="auto"/>
            </w:tcBorders>
            <w:hideMark/>
          </w:tcPr>
          <w:p w14:paraId="0E02EEA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339D454E"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4227F84"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4A82D95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3-, 4-, 5-feruloilochinowy</w:t>
            </w:r>
          </w:p>
        </w:tc>
        <w:tc>
          <w:tcPr>
            <w:tcW w:w="3225" w:type="dxa"/>
            <w:tcBorders>
              <w:top w:val="outset" w:sz="6" w:space="0" w:color="auto"/>
              <w:left w:val="outset" w:sz="6" w:space="0" w:color="auto"/>
              <w:bottom w:val="outset" w:sz="6" w:space="0" w:color="auto"/>
              <w:right w:val="outset" w:sz="6" w:space="0" w:color="auto"/>
            </w:tcBorders>
            <w:hideMark/>
          </w:tcPr>
          <w:p w14:paraId="18D80DF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[3]</w:t>
            </w:r>
          </w:p>
        </w:tc>
      </w:tr>
      <w:tr w:rsidR="00E56A40" w:rsidRPr="00E56A40" w14:paraId="7029DA63"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3788320"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14B288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3-, 5-p-kumaroilochinowy</w:t>
            </w:r>
          </w:p>
        </w:tc>
        <w:tc>
          <w:tcPr>
            <w:tcW w:w="3225" w:type="dxa"/>
            <w:tcBorders>
              <w:top w:val="outset" w:sz="6" w:space="0" w:color="auto"/>
              <w:left w:val="outset" w:sz="6" w:space="0" w:color="auto"/>
              <w:bottom w:val="outset" w:sz="6" w:space="0" w:color="auto"/>
              <w:right w:val="outset" w:sz="6" w:space="0" w:color="auto"/>
            </w:tcBorders>
            <w:hideMark/>
          </w:tcPr>
          <w:p w14:paraId="2B5ED54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541CCA90"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0AC0BFE"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354C4D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3,5-, 3,4-, 4,5-dikawoilochinowy</w:t>
            </w:r>
          </w:p>
        </w:tc>
        <w:tc>
          <w:tcPr>
            <w:tcW w:w="3225" w:type="dxa"/>
            <w:tcBorders>
              <w:top w:val="outset" w:sz="6" w:space="0" w:color="auto"/>
              <w:left w:val="outset" w:sz="6" w:space="0" w:color="auto"/>
              <w:bottom w:val="outset" w:sz="6" w:space="0" w:color="auto"/>
              <w:right w:val="outset" w:sz="6" w:space="0" w:color="auto"/>
            </w:tcBorders>
            <w:hideMark/>
          </w:tcPr>
          <w:p w14:paraId="56108DC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315DF131"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F93CF06"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147A1BC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3-, 4-kawoiloszikimowy</w:t>
            </w:r>
          </w:p>
        </w:tc>
        <w:tc>
          <w:tcPr>
            <w:tcW w:w="3225" w:type="dxa"/>
            <w:tcBorders>
              <w:top w:val="outset" w:sz="6" w:space="0" w:color="auto"/>
              <w:left w:val="outset" w:sz="6" w:space="0" w:color="auto"/>
              <w:bottom w:val="outset" w:sz="6" w:space="0" w:color="auto"/>
              <w:right w:val="outset" w:sz="6" w:space="0" w:color="auto"/>
            </w:tcBorders>
            <w:hideMark/>
          </w:tcPr>
          <w:p w14:paraId="2B88923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53476AAA"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BFABAE4"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CE0B1B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galusowy</w:t>
            </w:r>
          </w:p>
        </w:tc>
        <w:tc>
          <w:tcPr>
            <w:tcW w:w="3225" w:type="dxa"/>
            <w:tcBorders>
              <w:top w:val="outset" w:sz="6" w:space="0" w:color="auto"/>
              <w:left w:val="outset" w:sz="6" w:space="0" w:color="auto"/>
              <w:bottom w:val="outset" w:sz="6" w:space="0" w:color="auto"/>
              <w:right w:val="outset" w:sz="6" w:space="0" w:color="auto"/>
            </w:tcBorders>
            <w:hideMark/>
          </w:tcPr>
          <w:p w14:paraId="330EA11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w:t>
            </w:r>
          </w:p>
        </w:tc>
      </w:tr>
      <w:tr w:rsidR="00E56A40" w:rsidRPr="00E56A40" w14:paraId="5346A6B4"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5D3DE23"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BFDD18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katechina</w:t>
            </w:r>
          </w:p>
        </w:tc>
        <w:tc>
          <w:tcPr>
            <w:tcW w:w="3225" w:type="dxa"/>
            <w:tcBorders>
              <w:top w:val="outset" w:sz="6" w:space="0" w:color="auto"/>
              <w:left w:val="outset" w:sz="6" w:space="0" w:color="auto"/>
              <w:bottom w:val="outset" w:sz="6" w:space="0" w:color="auto"/>
              <w:right w:val="outset" w:sz="6" w:space="0" w:color="auto"/>
            </w:tcBorders>
            <w:hideMark/>
          </w:tcPr>
          <w:p w14:paraId="335B5E8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w:t>
            </w:r>
          </w:p>
        </w:tc>
      </w:tr>
      <w:tr w:rsidR="00E56A40" w:rsidRPr="00E56A40" w14:paraId="1DB5EB31"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87627AC"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47DCDAF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chlorogenowy</w:t>
            </w:r>
          </w:p>
        </w:tc>
        <w:tc>
          <w:tcPr>
            <w:tcW w:w="3225" w:type="dxa"/>
            <w:tcBorders>
              <w:top w:val="outset" w:sz="6" w:space="0" w:color="auto"/>
              <w:left w:val="outset" w:sz="6" w:space="0" w:color="auto"/>
              <w:bottom w:val="outset" w:sz="6" w:space="0" w:color="auto"/>
              <w:right w:val="outset" w:sz="6" w:space="0" w:color="auto"/>
            </w:tcBorders>
            <w:hideMark/>
          </w:tcPr>
          <w:p w14:paraId="7EC9C5C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w:t>
            </w:r>
          </w:p>
        </w:tc>
      </w:tr>
      <w:tr w:rsidR="00E56A40" w:rsidRPr="00E56A40" w14:paraId="5E3ED409"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70C86BF"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669A465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kawowy</w:t>
            </w:r>
          </w:p>
        </w:tc>
        <w:tc>
          <w:tcPr>
            <w:tcW w:w="3225" w:type="dxa"/>
            <w:tcBorders>
              <w:top w:val="outset" w:sz="6" w:space="0" w:color="auto"/>
              <w:left w:val="outset" w:sz="6" w:space="0" w:color="auto"/>
              <w:bottom w:val="outset" w:sz="6" w:space="0" w:color="auto"/>
              <w:right w:val="outset" w:sz="6" w:space="0" w:color="auto"/>
            </w:tcBorders>
            <w:hideMark/>
          </w:tcPr>
          <w:p w14:paraId="4788981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w:t>
            </w:r>
          </w:p>
        </w:tc>
      </w:tr>
      <w:tr w:rsidR="00E56A40" w:rsidRPr="00E56A40" w14:paraId="10857D03"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B5953E2"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1CF3CD2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xml:space="preserve">kwas </w:t>
            </w:r>
            <w:r w:rsidRPr="00E56A40">
              <w:rPr>
                <w:rFonts w:ascii="Times New Roman" w:eastAsia="Times New Roman" w:hAnsi="Times New Roman" w:cs="Times New Roman"/>
                <w:i/>
                <w:iCs/>
                <w:sz w:val="24"/>
                <w:szCs w:val="24"/>
                <w:lang w:eastAsia="pl-PL"/>
              </w:rPr>
              <w:t>p</w:t>
            </w:r>
            <w:r w:rsidRPr="00E56A40">
              <w:rPr>
                <w:rFonts w:ascii="Times New Roman" w:eastAsia="Times New Roman" w:hAnsi="Times New Roman" w:cs="Times New Roman"/>
                <w:sz w:val="24"/>
                <w:szCs w:val="24"/>
                <w:lang w:eastAsia="pl-PL"/>
              </w:rPr>
              <w:t>-kumarowy</w:t>
            </w:r>
          </w:p>
        </w:tc>
        <w:tc>
          <w:tcPr>
            <w:tcW w:w="3225" w:type="dxa"/>
            <w:tcBorders>
              <w:top w:val="outset" w:sz="6" w:space="0" w:color="auto"/>
              <w:left w:val="outset" w:sz="6" w:space="0" w:color="auto"/>
              <w:bottom w:val="outset" w:sz="6" w:space="0" w:color="auto"/>
              <w:right w:val="outset" w:sz="6" w:space="0" w:color="auto"/>
            </w:tcBorders>
            <w:hideMark/>
          </w:tcPr>
          <w:p w14:paraId="501353D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 [4]</w:t>
            </w:r>
          </w:p>
        </w:tc>
      </w:tr>
      <w:tr w:rsidR="00E56A40" w:rsidRPr="00E56A40" w14:paraId="11CC78EB"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C199E40"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2DD8E60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rutyna</w:t>
            </w:r>
          </w:p>
        </w:tc>
        <w:tc>
          <w:tcPr>
            <w:tcW w:w="3225" w:type="dxa"/>
            <w:tcBorders>
              <w:top w:val="outset" w:sz="6" w:space="0" w:color="auto"/>
              <w:left w:val="outset" w:sz="6" w:space="0" w:color="auto"/>
              <w:bottom w:val="outset" w:sz="6" w:space="0" w:color="auto"/>
              <w:right w:val="outset" w:sz="6" w:space="0" w:color="auto"/>
            </w:tcBorders>
            <w:hideMark/>
          </w:tcPr>
          <w:p w14:paraId="74FC657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w:t>
            </w:r>
          </w:p>
        </w:tc>
      </w:tr>
      <w:tr w:rsidR="00E56A40" w:rsidRPr="00E56A40" w14:paraId="2C41FE31"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C479354"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10EBF40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kwercetyna</w:t>
            </w:r>
          </w:p>
        </w:tc>
        <w:tc>
          <w:tcPr>
            <w:tcW w:w="3225" w:type="dxa"/>
            <w:tcBorders>
              <w:top w:val="outset" w:sz="6" w:space="0" w:color="auto"/>
              <w:left w:val="outset" w:sz="6" w:space="0" w:color="auto"/>
              <w:bottom w:val="outset" w:sz="6" w:space="0" w:color="auto"/>
              <w:right w:val="outset" w:sz="6" w:space="0" w:color="auto"/>
            </w:tcBorders>
            <w:hideMark/>
          </w:tcPr>
          <w:p w14:paraId="46FE7E5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w:t>
            </w:r>
          </w:p>
        </w:tc>
      </w:tr>
      <w:tr w:rsidR="00E56A40" w:rsidRPr="00E56A40" w14:paraId="0CF4011B"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AC159D1"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669F93B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cynamonowy</w:t>
            </w:r>
          </w:p>
        </w:tc>
        <w:tc>
          <w:tcPr>
            <w:tcW w:w="3225" w:type="dxa"/>
            <w:tcBorders>
              <w:top w:val="outset" w:sz="6" w:space="0" w:color="auto"/>
              <w:left w:val="outset" w:sz="6" w:space="0" w:color="auto"/>
              <w:bottom w:val="outset" w:sz="6" w:space="0" w:color="auto"/>
              <w:right w:val="outset" w:sz="6" w:space="0" w:color="auto"/>
            </w:tcBorders>
            <w:hideMark/>
          </w:tcPr>
          <w:p w14:paraId="12F2F02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w:t>
            </w:r>
          </w:p>
        </w:tc>
      </w:tr>
      <w:tr w:rsidR="00E56A40" w:rsidRPr="00E56A40" w14:paraId="035BC28B"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7DB22BB"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7CD0231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apigenina</w:t>
            </w:r>
          </w:p>
        </w:tc>
        <w:tc>
          <w:tcPr>
            <w:tcW w:w="3225" w:type="dxa"/>
            <w:tcBorders>
              <w:top w:val="outset" w:sz="6" w:space="0" w:color="auto"/>
              <w:left w:val="outset" w:sz="6" w:space="0" w:color="auto"/>
              <w:bottom w:val="outset" w:sz="6" w:space="0" w:color="auto"/>
              <w:right w:val="outset" w:sz="6" w:space="0" w:color="auto"/>
            </w:tcBorders>
            <w:hideMark/>
          </w:tcPr>
          <w:p w14:paraId="57DE39C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w:t>
            </w:r>
          </w:p>
        </w:tc>
      </w:tr>
      <w:tr w:rsidR="00E56A40" w:rsidRPr="00E56A40" w14:paraId="300BD506"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242FEE6"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0F39A46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izowiteksyna</w:t>
            </w:r>
          </w:p>
        </w:tc>
        <w:tc>
          <w:tcPr>
            <w:tcW w:w="3225" w:type="dxa"/>
            <w:tcBorders>
              <w:top w:val="outset" w:sz="6" w:space="0" w:color="auto"/>
              <w:left w:val="outset" w:sz="6" w:space="0" w:color="auto"/>
              <w:bottom w:val="outset" w:sz="6" w:space="0" w:color="auto"/>
              <w:right w:val="outset" w:sz="6" w:space="0" w:color="auto"/>
            </w:tcBorders>
            <w:hideMark/>
          </w:tcPr>
          <w:p w14:paraId="3165F8F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w:t>
            </w:r>
          </w:p>
        </w:tc>
      </w:tr>
      <w:tr w:rsidR="00E56A40" w:rsidRPr="00E56A40" w14:paraId="076EBEE5"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0F805BE"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6013D9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ferulowy</w:t>
            </w:r>
          </w:p>
        </w:tc>
        <w:tc>
          <w:tcPr>
            <w:tcW w:w="3225" w:type="dxa"/>
            <w:tcBorders>
              <w:top w:val="outset" w:sz="6" w:space="0" w:color="auto"/>
              <w:left w:val="outset" w:sz="6" w:space="0" w:color="auto"/>
              <w:bottom w:val="outset" w:sz="6" w:space="0" w:color="auto"/>
              <w:right w:val="outset" w:sz="6" w:space="0" w:color="auto"/>
            </w:tcBorders>
            <w:hideMark/>
          </w:tcPr>
          <w:p w14:paraId="08A39A9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[4]</w:t>
            </w:r>
          </w:p>
        </w:tc>
      </w:tr>
      <w:tr w:rsidR="00E56A40" w:rsidRPr="00E56A40" w14:paraId="25B18DCF"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E9E0C77"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05110B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wanilinowy</w:t>
            </w:r>
          </w:p>
        </w:tc>
        <w:tc>
          <w:tcPr>
            <w:tcW w:w="3225" w:type="dxa"/>
            <w:tcBorders>
              <w:top w:val="outset" w:sz="6" w:space="0" w:color="auto"/>
              <w:left w:val="outset" w:sz="6" w:space="0" w:color="auto"/>
              <w:bottom w:val="outset" w:sz="6" w:space="0" w:color="auto"/>
              <w:right w:val="outset" w:sz="6" w:space="0" w:color="auto"/>
            </w:tcBorders>
            <w:hideMark/>
          </w:tcPr>
          <w:p w14:paraId="50FA198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[4]</w:t>
            </w:r>
          </w:p>
        </w:tc>
      </w:tr>
      <w:tr w:rsidR="00E56A40" w:rsidRPr="00E56A40" w14:paraId="042A0897"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79A0229"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A51AF1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syringaldehyd</w:t>
            </w:r>
          </w:p>
        </w:tc>
        <w:tc>
          <w:tcPr>
            <w:tcW w:w="3225" w:type="dxa"/>
            <w:tcBorders>
              <w:top w:val="outset" w:sz="6" w:space="0" w:color="auto"/>
              <w:left w:val="outset" w:sz="6" w:space="0" w:color="auto"/>
              <w:bottom w:val="outset" w:sz="6" w:space="0" w:color="auto"/>
              <w:right w:val="outset" w:sz="6" w:space="0" w:color="auto"/>
            </w:tcBorders>
            <w:hideMark/>
          </w:tcPr>
          <w:p w14:paraId="0AB606A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[4]</w:t>
            </w:r>
          </w:p>
        </w:tc>
      </w:tr>
      <w:tr w:rsidR="00E56A40" w:rsidRPr="00E56A40" w14:paraId="281DFEC2"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B984D1D"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7CD33D9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wanilina</w:t>
            </w:r>
          </w:p>
        </w:tc>
        <w:tc>
          <w:tcPr>
            <w:tcW w:w="3225" w:type="dxa"/>
            <w:tcBorders>
              <w:top w:val="outset" w:sz="6" w:space="0" w:color="auto"/>
              <w:left w:val="outset" w:sz="6" w:space="0" w:color="auto"/>
              <w:bottom w:val="outset" w:sz="6" w:space="0" w:color="auto"/>
              <w:right w:val="outset" w:sz="6" w:space="0" w:color="auto"/>
            </w:tcBorders>
            <w:hideMark/>
          </w:tcPr>
          <w:p w14:paraId="4EEE541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[4]</w:t>
            </w:r>
          </w:p>
        </w:tc>
      </w:tr>
    </w:tbl>
    <w:p w14:paraId="21C3159F"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[1]</w:t>
      </w:r>
      <w:r w:rsidRPr="00FF4196">
        <w:rPr>
          <w:rFonts w:ascii="Times New Roman" w:eastAsia="Times New Roman" w:hAnsi="Times New Roman" w:cs="Times New Roman"/>
          <w:sz w:val="24"/>
          <w:szCs w:val="24"/>
          <w:lang w:val="en-US" w:eastAsia="pl-PL"/>
        </w:rPr>
        <w:t xml:space="preserve"> Parveen I., Threadgill M.D., Hauck B., Donnison I., Winters A., 2011. Isolation, identification and quantitation of hydroxycinnamic acid conjugates, potential platform chemicals, in the leaves and stems of </w:t>
      </w:r>
      <w:r w:rsidRPr="00FF4196">
        <w:rPr>
          <w:rFonts w:ascii="Times New Roman" w:eastAsia="Times New Roman" w:hAnsi="Times New Roman" w:cs="Times New Roman"/>
          <w:i/>
          <w:iCs/>
          <w:sz w:val="24"/>
          <w:szCs w:val="24"/>
          <w:lang w:val="en-US" w:eastAsia="pl-PL"/>
        </w:rPr>
        <w:t>Miscanthus x giganteus</w:t>
      </w:r>
      <w:r w:rsidRPr="00FF4196">
        <w:rPr>
          <w:rFonts w:ascii="Times New Roman" w:eastAsia="Times New Roman" w:hAnsi="Times New Roman" w:cs="Times New Roman"/>
          <w:sz w:val="24"/>
          <w:szCs w:val="24"/>
          <w:lang w:val="en-US" w:eastAsia="pl-PL"/>
        </w:rPr>
        <w:t xml:space="preserve"> using LC–ESI-MS</w:t>
      </w:r>
      <w:r w:rsidRPr="00FF4196">
        <w:rPr>
          <w:rFonts w:ascii="Times New Roman" w:eastAsia="Times New Roman" w:hAnsi="Times New Roman" w:cs="Times New Roman"/>
          <w:sz w:val="24"/>
          <w:szCs w:val="24"/>
          <w:vertAlign w:val="superscript"/>
          <w:lang w:val="en-US" w:eastAsia="pl-PL"/>
        </w:rPr>
        <w:t>n</w:t>
      </w:r>
      <w:r w:rsidRPr="00FF4196">
        <w:rPr>
          <w:rFonts w:ascii="Times New Roman" w:eastAsia="Times New Roman" w:hAnsi="Times New Roman" w:cs="Times New Roman"/>
          <w:sz w:val="24"/>
          <w:szCs w:val="24"/>
          <w:lang w:val="en-US" w:eastAsia="pl-PL"/>
        </w:rPr>
        <w:t>. Phytochemistry 72, 2376-2384.</w:t>
      </w:r>
    </w:p>
    <w:p w14:paraId="542130A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[2]</w:t>
      </w:r>
      <w:r w:rsidRPr="00FF4196">
        <w:rPr>
          <w:rFonts w:ascii="Times New Roman" w:eastAsia="Times New Roman" w:hAnsi="Times New Roman" w:cs="Times New Roman"/>
          <w:sz w:val="24"/>
          <w:szCs w:val="24"/>
          <w:lang w:val="en-US" w:eastAsia="pl-PL"/>
        </w:rPr>
        <w:t xml:space="preserve"> Técher D., Laval-Gilly P., Henry S., Bennasroune A., Formanek P., Martinez-Chois C., D'Innocenzo M., Muanda F., Dicko A., Rejšek K., Falla J., 2011. Contribution of </w:t>
      </w:r>
      <w:r w:rsidRPr="00FF4196">
        <w:rPr>
          <w:rFonts w:ascii="Times New Roman" w:eastAsia="Times New Roman" w:hAnsi="Times New Roman" w:cs="Times New Roman"/>
          <w:i/>
          <w:iCs/>
          <w:sz w:val="24"/>
          <w:szCs w:val="24"/>
          <w:lang w:val="en-US" w:eastAsia="pl-PL"/>
        </w:rPr>
        <w:t xml:space="preserve">Miscanthus x giganteus </w:t>
      </w:r>
      <w:r w:rsidRPr="00FF4196">
        <w:rPr>
          <w:rFonts w:ascii="Times New Roman" w:eastAsia="Times New Roman" w:hAnsi="Times New Roman" w:cs="Times New Roman"/>
          <w:sz w:val="24"/>
          <w:szCs w:val="24"/>
          <w:lang w:val="en-US" w:eastAsia="pl-PL"/>
        </w:rPr>
        <w:t>root exudates to the biostimulation of PAH degradation: An in vitro study. Science of the Total Environment 409, 4489-4495.</w:t>
      </w:r>
    </w:p>
    <w:p w14:paraId="18536F5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[3]</w:t>
      </w:r>
      <w:r w:rsidRPr="00FF4196">
        <w:rPr>
          <w:rFonts w:ascii="Times New Roman" w:eastAsia="Times New Roman" w:hAnsi="Times New Roman" w:cs="Times New Roman"/>
          <w:sz w:val="24"/>
          <w:szCs w:val="24"/>
          <w:lang w:val="en-US" w:eastAsia="pl-PL"/>
        </w:rPr>
        <w:t xml:space="preserve"> Pham H.N., Anh P.P., Nguyen T.T.H., Meiffren G., Brothier E., Lamy I., Michalet S., Dijoux-Franca M.-G., Nazaret S., 2018. Influence of metal contamination in soil on metabolic profiles of </w:t>
      </w:r>
      <w:r w:rsidRPr="00FF4196">
        <w:rPr>
          <w:rFonts w:ascii="Times New Roman" w:eastAsia="Times New Roman" w:hAnsi="Times New Roman" w:cs="Times New Roman"/>
          <w:i/>
          <w:iCs/>
          <w:sz w:val="24"/>
          <w:szCs w:val="24"/>
          <w:lang w:val="en-US" w:eastAsia="pl-PL"/>
        </w:rPr>
        <w:t>Miscanthus x giganteus</w:t>
      </w:r>
      <w:r w:rsidRPr="00FF4196">
        <w:rPr>
          <w:rFonts w:ascii="Times New Roman" w:eastAsia="Times New Roman" w:hAnsi="Times New Roman" w:cs="Times New Roman"/>
          <w:sz w:val="24"/>
          <w:szCs w:val="24"/>
          <w:lang w:val="en-US" w:eastAsia="pl-PL"/>
        </w:rPr>
        <w:t xml:space="preserve"> belowground parts and associated bacterial communities. Applied Soil Ecology 125, 240-249.</w:t>
      </w:r>
    </w:p>
    <w:p w14:paraId="53E3818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b/>
          <w:bCs/>
          <w:sz w:val="24"/>
          <w:szCs w:val="24"/>
          <w:lang w:val="en-US" w:eastAsia="pl-PL"/>
        </w:rPr>
        <w:t>[4]</w:t>
      </w:r>
      <w:r w:rsidRPr="00FF4196">
        <w:rPr>
          <w:rFonts w:ascii="Times New Roman" w:eastAsia="Times New Roman" w:hAnsi="Times New Roman" w:cs="Times New Roman"/>
          <w:sz w:val="24"/>
          <w:szCs w:val="24"/>
          <w:lang w:val="en-US" w:eastAsia="pl-PL"/>
        </w:rPr>
        <w:t xml:space="preserve"> Villaverde J.J.,, De Vega A., Ligero P., Freire C.S., Neto C.P., Silvestre A.J., 2010. </w:t>
      </w:r>
      <w:r w:rsidRPr="00FF4196">
        <w:rPr>
          <w:rFonts w:ascii="Times New Roman" w:eastAsia="Times New Roman" w:hAnsi="Times New Roman" w:cs="Times New Roman"/>
          <w:i/>
          <w:iCs/>
          <w:sz w:val="24"/>
          <w:szCs w:val="24"/>
          <w:lang w:val="en-US" w:eastAsia="pl-PL"/>
        </w:rPr>
        <w:t>Miscanthus x giganteus</w:t>
      </w:r>
      <w:r w:rsidRPr="00FF4196">
        <w:rPr>
          <w:rFonts w:ascii="Times New Roman" w:eastAsia="Times New Roman" w:hAnsi="Times New Roman" w:cs="Times New Roman"/>
          <w:sz w:val="24"/>
          <w:szCs w:val="24"/>
          <w:lang w:val="en-US" w:eastAsia="pl-PL"/>
        </w:rPr>
        <w:t xml:space="preserve"> bark organosolv fractionation: fate of lipophilic components and formation of valuable phenolic byproducts. </w:t>
      </w:r>
      <w:r w:rsidRPr="00E56A40">
        <w:rPr>
          <w:rFonts w:ascii="Times New Roman" w:eastAsia="Times New Roman" w:hAnsi="Times New Roman" w:cs="Times New Roman"/>
          <w:sz w:val="24"/>
          <w:szCs w:val="24"/>
          <w:lang w:eastAsia="pl-PL"/>
        </w:rPr>
        <w:t>J. Agric. Food Chem. 58(14), 8279-8285.</w:t>
      </w:r>
    </w:p>
    <w:p w14:paraId="59ECC38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8"/>
        <w:gridCol w:w="4538"/>
        <w:gridCol w:w="2530"/>
      </w:tblGrid>
      <w:tr w:rsidR="00E56A40" w:rsidRPr="00E56A40" w14:paraId="3674B48A" w14:textId="77777777" w:rsidTr="00E56A40">
        <w:trPr>
          <w:tblCellSpacing w:w="0" w:type="dxa"/>
        </w:trPr>
        <w:tc>
          <w:tcPr>
            <w:tcW w:w="2310" w:type="dxa"/>
            <w:tcBorders>
              <w:top w:val="outset" w:sz="6" w:space="0" w:color="auto"/>
              <w:left w:val="outset" w:sz="6" w:space="0" w:color="auto"/>
              <w:bottom w:val="outset" w:sz="6" w:space="0" w:color="auto"/>
              <w:right w:val="outset" w:sz="6" w:space="0" w:color="auto"/>
            </w:tcBorders>
            <w:hideMark/>
          </w:tcPr>
          <w:p w14:paraId="6B14ECD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Biomasa</w:t>
            </w:r>
          </w:p>
        </w:tc>
        <w:tc>
          <w:tcPr>
            <w:tcW w:w="5850" w:type="dxa"/>
            <w:tcBorders>
              <w:top w:val="outset" w:sz="6" w:space="0" w:color="auto"/>
              <w:left w:val="outset" w:sz="6" w:space="0" w:color="auto"/>
              <w:bottom w:val="outset" w:sz="6" w:space="0" w:color="auto"/>
              <w:right w:val="outset" w:sz="6" w:space="0" w:color="auto"/>
            </w:tcBorders>
            <w:hideMark/>
          </w:tcPr>
          <w:p w14:paraId="1CCE470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Związek chemiczny</w:t>
            </w:r>
          </w:p>
        </w:tc>
        <w:tc>
          <w:tcPr>
            <w:tcW w:w="3225" w:type="dxa"/>
            <w:tcBorders>
              <w:top w:val="outset" w:sz="6" w:space="0" w:color="auto"/>
              <w:left w:val="outset" w:sz="6" w:space="0" w:color="auto"/>
              <w:bottom w:val="outset" w:sz="6" w:space="0" w:color="auto"/>
              <w:right w:val="outset" w:sz="6" w:space="0" w:color="auto"/>
            </w:tcBorders>
            <w:hideMark/>
          </w:tcPr>
          <w:p w14:paraId="308697A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Literatura</w:t>
            </w:r>
          </w:p>
        </w:tc>
      </w:tr>
      <w:tr w:rsidR="00E56A40" w:rsidRPr="00E56A40" w14:paraId="2C72A8A3" w14:textId="77777777" w:rsidTr="00E56A40">
        <w:trPr>
          <w:tblCellSpacing w:w="0" w:type="dxa"/>
        </w:trPr>
        <w:tc>
          <w:tcPr>
            <w:tcW w:w="2310" w:type="dxa"/>
            <w:vMerge w:val="restart"/>
            <w:tcBorders>
              <w:top w:val="outset" w:sz="6" w:space="0" w:color="auto"/>
              <w:left w:val="outset" w:sz="6" w:space="0" w:color="auto"/>
              <w:bottom w:val="outset" w:sz="6" w:space="0" w:color="auto"/>
              <w:right w:val="outset" w:sz="6" w:space="0" w:color="auto"/>
            </w:tcBorders>
            <w:hideMark/>
          </w:tcPr>
          <w:p w14:paraId="363EE7E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2654481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0A5F524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05E4748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p w14:paraId="2856B60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lastRenderedPageBreak/>
              <w:t> </w:t>
            </w:r>
          </w:p>
          <w:p w14:paraId="2193299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Miskant chiński</w:t>
            </w:r>
          </w:p>
          <w:p w14:paraId="25AEDB3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 </w:t>
            </w:r>
            <w:r w:rsidRPr="00E56A40">
              <w:rPr>
                <w:rFonts w:ascii="Times New Roman" w:eastAsia="Times New Roman" w:hAnsi="Times New Roman" w:cs="Times New Roman"/>
                <w:b/>
                <w:bCs/>
                <w:sz w:val="24"/>
                <w:szCs w:val="24"/>
                <w:lang w:eastAsia="pl-PL"/>
              </w:rPr>
              <w:t>(</w:t>
            </w:r>
            <w:r w:rsidRPr="00E56A40">
              <w:rPr>
                <w:rFonts w:ascii="Times New Roman" w:eastAsia="Times New Roman" w:hAnsi="Times New Roman" w:cs="Times New Roman"/>
                <w:b/>
                <w:bCs/>
                <w:i/>
                <w:iCs/>
                <w:sz w:val="24"/>
                <w:szCs w:val="24"/>
                <w:lang w:eastAsia="pl-PL"/>
              </w:rPr>
              <w:t>Miscanthus sinensis)</w:t>
            </w:r>
          </w:p>
          <w:p w14:paraId="401CE5F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 </w:t>
            </w:r>
          </w:p>
        </w:tc>
        <w:tc>
          <w:tcPr>
            <w:tcW w:w="5850" w:type="dxa"/>
            <w:tcBorders>
              <w:top w:val="outset" w:sz="6" w:space="0" w:color="auto"/>
              <w:left w:val="outset" w:sz="6" w:space="0" w:color="auto"/>
              <w:bottom w:val="outset" w:sz="6" w:space="0" w:color="auto"/>
              <w:right w:val="outset" w:sz="6" w:space="0" w:color="auto"/>
            </w:tcBorders>
            <w:hideMark/>
          </w:tcPr>
          <w:p w14:paraId="2FAFCAF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kwas 3-, 4-, 5-kawoilochinowy</w:t>
            </w:r>
          </w:p>
        </w:tc>
        <w:tc>
          <w:tcPr>
            <w:tcW w:w="3225" w:type="dxa"/>
            <w:tcBorders>
              <w:top w:val="outset" w:sz="6" w:space="0" w:color="auto"/>
              <w:left w:val="outset" w:sz="6" w:space="0" w:color="auto"/>
              <w:bottom w:val="outset" w:sz="6" w:space="0" w:color="auto"/>
              <w:right w:val="outset" w:sz="6" w:space="0" w:color="auto"/>
            </w:tcBorders>
            <w:hideMark/>
          </w:tcPr>
          <w:p w14:paraId="0609439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[2]</w:t>
            </w:r>
          </w:p>
        </w:tc>
      </w:tr>
      <w:tr w:rsidR="00E56A40" w:rsidRPr="00E56A40" w14:paraId="2B6318CF"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5BC3235"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FDEEF8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xml:space="preserve">kwas </w:t>
            </w:r>
            <w:r w:rsidRPr="00E56A40">
              <w:rPr>
                <w:rFonts w:ascii="Times New Roman" w:eastAsia="Times New Roman" w:hAnsi="Times New Roman" w:cs="Times New Roman"/>
                <w:i/>
                <w:iCs/>
                <w:sz w:val="24"/>
                <w:szCs w:val="24"/>
                <w:lang w:eastAsia="pl-PL"/>
              </w:rPr>
              <w:t>p</w:t>
            </w:r>
            <w:r w:rsidRPr="00E56A40">
              <w:rPr>
                <w:rFonts w:ascii="Times New Roman" w:eastAsia="Times New Roman" w:hAnsi="Times New Roman" w:cs="Times New Roman"/>
                <w:sz w:val="24"/>
                <w:szCs w:val="24"/>
                <w:lang w:eastAsia="pl-PL"/>
              </w:rPr>
              <w:t>-kumarowy</w:t>
            </w:r>
          </w:p>
        </w:tc>
        <w:tc>
          <w:tcPr>
            <w:tcW w:w="3225" w:type="dxa"/>
            <w:tcBorders>
              <w:top w:val="outset" w:sz="6" w:space="0" w:color="auto"/>
              <w:left w:val="outset" w:sz="6" w:space="0" w:color="auto"/>
              <w:bottom w:val="outset" w:sz="6" w:space="0" w:color="auto"/>
              <w:right w:val="outset" w:sz="6" w:space="0" w:color="auto"/>
            </w:tcBorders>
            <w:hideMark/>
          </w:tcPr>
          <w:p w14:paraId="0698B4F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1134EC2A"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3BB9611"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1E78CDF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3-, 4-, 5-feruloilochinowy</w:t>
            </w:r>
          </w:p>
        </w:tc>
        <w:tc>
          <w:tcPr>
            <w:tcW w:w="3225" w:type="dxa"/>
            <w:tcBorders>
              <w:top w:val="outset" w:sz="6" w:space="0" w:color="auto"/>
              <w:left w:val="outset" w:sz="6" w:space="0" w:color="auto"/>
              <w:bottom w:val="outset" w:sz="6" w:space="0" w:color="auto"/>
              <w:right w:val="outset" w:sz="6" w:space="0" w:color="auto"/>
            </w:tcBorders>
            <w:hideMark/>
          </w:tcPr>
          <w:p w14:paraId="1B83252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[2]</w:t>
            </w:r>
          </w:p>
        </w:tc>
      </w:tr>
      <w:tr w:rsidR="00E56A40" w:rsidRPr="00E56A40" w14:paraId="2B23DF3A"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654B411"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6A8CBB7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3-, 4-, 5-</w:t>
            </w:r>
            <w:r w:rsidRPr="00E56A40">
              <w:rPr>
                <w:rFonts w:ascii="Times New Roman" w:eastAsia="Times New Roman" w:hAnsi="Times New Roman" w:cs="Times New Roman"/>
                <w:i/>
                <w:iCs/>
                <w:sz w:val="24"/>
                <w:szCs w:val="24"/>
                <w:lang w:eastAsia="pl-PL"/>
              </w:rPr>
              <w:t>p</w:t>
            </w:r>
            <w:r w:rsidRPr="00E56A40">
              <w:rPr>
                <w:rFonts w:ascii="Times New Roman" w:eastAsia="Times New Roman" w:hAnsi="Times New Roman" w:cs="Times New Roman"/>
                <w:sz w:val="24"/>
                <w:szCs w:val="24"/>
                <w:lang w:eastAsia="pl-PL"/>
              </w:rPr>
              <w:t>-kumaroilochinowy</w:t>
            </w:r>
          </w:p>
        </w:tc>
        <w:tc>
          <w:tcPr>
            <w:tcW w:w="3225" w:type="dxa"/>
            <w:tcBorders>
              <w:top w:val="outset" w:sz="6" w:space="0" w:color="auto"/>
              <w:left w:val="outset" w:sz="6" w:space="0" w:color="auto"/>
              <w:bottom w:val="outset" w:sz="6" w:space="0" w:color="auto"/>
              <w:right w:val="outset" w:sz="6" w:space="0" w:color="auto"/>
            </w:tcBorders>
            <w:hideMark/>
          </w:tcPr>
          <w:p w14:paraId="3401263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 [2]</w:t>
            </w:r>
          </w:p>
        </w:tc>
      </w:tr>
      <w:tr w:rsidR="00E56A40" w:rsidRPr="00E56A40" w14:paraId="561064AC"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A378658"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F29A26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6-C-glukozyd luteoliny</w:t>
            </w:r>
          </w:p>
        </w:tc>
        <w:tc>
          <w:tcPr>
            <w:tcW w:w="3225" w:type="dxa"/>
            <w:tcBorders>
              <w:top w:val="outset" w:sz="6" w:space="0" w:color="auto"/>
              <w:left w:val="outset" w:sz="6" w:space="0" w:color="auto"/>
              <w:bottom w:val="outset" w:sz="6" w:space="0" w:color="auto"/>
              <w:right w:val="outset" w:sz="6" w:space="0" w:color="auto"/>
            </w:tcBorders>
            <w:hideMark/>
          </w:tcPr>
          <w:p w14:paraId="5B4736D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4D9A7F49"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DF2F0A7"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7C070C2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2″-O-deoksyheksozyd-C-heksozydy luteoliny</w:t>
            </w:r>
          </w:p>
        </w:tc>
        <w:tc>
          <w:tcPr>
            <w:tcW w:w="3225" w:type="dxa"/>
            <w:tcBorders>
              <w:top w:val="outset" w:sz="6" w:space="0" w:color="auto"/>
              <w:left w:val="outset" w:sz="6" w:space="0" w:color="auto"/>
              <w:bottom w:val="outset" w:sz="6" w:space="0" w:color="auto"/>
              <w:right w:val="outset" w:sz="6" w:space="0" w:color="auto"/>
            </w:tcBorders>
            <w:hideMark/>
          </w:tcPr>
          <w:p w14:paraId="356A646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4EC3BBFB"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B11F261"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A8C4B6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C-deoksyheksozyd apigeniny</w:t>
            </w:r>
          </w:p>
        </w:tc>
        <w:tc>
          <w:tcPr>
            <w:tcW w:w="3225" w:type="dxa"/>
            <w:tcBorders>
              <w:top w:val="outset" w:sz="6" w:space="0" w:color="auto"/>
              <w:left w:val="outset" w:sz="6" w:space="0" w:color="auto"/>
              <w:bottom w:val="outset" w:sz="6" w:space="0" w:color="auto"/>
              <w:right w:val="outset" w:sz="6" w:space="0" w:color="auto"/>
            </w:tcBorders>
            <w:hideMark/>
          </w:tcPr>
          <w:p w14:paraId="33368CC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49C24BCD"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60F7888"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A8FC5E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6-C-deoksyheksozyd luteoliny</w:t>
            </w:r>
          </w:p>
        </w:tc>
        <w:tc>
          <w:tcPr>
            <w:tcW w:w="3225" w:type="dxa"/>
            <w:tcBorders>
              <w:top w:val="outset" w:sz="6" w:space="0" w:color="auto"/>
              <w:left w:val="outset" w:sz="6" w:space="0" w:color="auto"/>
              <w:bottom w:val="outset" w:sz="6" w:space="0" w:color="auto"/>
              <w:right w:val="outset" w:sz="6" w:space="0" w:color="auto"/>
            </w:tcBorders>
            <w:hideMark/>
          </w:tcPr>
          <w:p w14:paraId="58A8409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3ECF3DE8"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DE2CFBD"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41485E7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6,8-di-C-heksozyd apigeniny</w:t>
            </w:r>
          </w:p>
        </w:tc>
        <w:tc>
          <w:tcPr>
            <w:tcW w:w="3225" w:type="dxa"/>
            <w:tcBorders>
              <w:top w:val="outset" w:sz="6" w:space="0" w:color="auto"/>
              <w:left w:val="outset" w:sz="6" w:space="0" w:color="auto"/>
              <w:bottom w:val="outset" w:sz="6" w:space="0" w:color="auto"/>
              <w:right w:val="outset" w:sz="6" w:space="0" w:color="auto"/>
            </w:tcBorders>
            <w:hideMark/>
          </w:tcPr>
          <w:p w14:paraId="105C44F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3BD9D995"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F86B643"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E0AFF0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C-pentozyd-C-heksozyd luteoliny</w:t>
            </w:r>
          </w:p>
        </w:tc>
        <w:tc>
          <w:tcPr>
            <w:tcW w:w="3225" w:type="dxa"/>
            <w:tcBorders>
              <w:top w:val="outset" w:sz="6" w:space="0" w:color="auto"/>
              <w:left w:val="outset" w:sz="6" w:space="0" w:color="auto"/>
              <w:bottom w:val="outset" w:sz="6" w:space="0" w:color="auto"/>
              <w:right w:val="outset" w:sz="6" w:space="0" w:color="auto"/>
            </w:tcBorders>
            <w:hideMark/>
          </w:tcPr>
          <w:p w14:paraId="66E6B5D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652A1840"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F7D0DFC"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6B8E42C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O-heksozyd-C-pentozyd diosmetyny</w:t>
            </w:r>
          </w:p>
        </w:tc>
        <w:tc>
          <w:tcPr>
            <w:tcW w:w="3225" w:type="dxa"/>
            <w:tcBorders>
              <w:top w:val="outset" w:sz="6" w:space="0" w:color="auto"/>
              <w:left w:val="outset" w:sz="6" w:space="0" w:color="auto"/>
              <w:bottom w:val="outset" w:sz="6" w:space="0" w:color="auto"/>
              <w:right w:val="outset" w:sz="6" w:space="0" w:color="auto"/>
            </w:tcBorders>
            <w:hideMark/>
          </w:tcPr>
          <w:p w14:paraId="4BA3C78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211C3F73"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AF12E69"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318E3FD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C-pentozyd luteoliny</w:t>
            </w:r>
          </w:p>
        </w:tc>
        <w:tc>
          <w:tcPr>
            <w:tcW w:w="3225" w:type="dxa"/>
            <w:tcBorders>
              <w:top w:val="outset" w:sz="6" w:space="0" w:color="auto"/>
              <w:left w:val="outset" w:sz="6" w:space="0" w:color="auto"/>
              <w:bottom w:val="outset" w:sz="6" w:space="0" w:color="auto"/>
              <w:right w:val="outset" w:sz="6" w:space="0" w:color="auto"/>
            </w:tcBorders>
            <w:hideMark/>
          </w:tcPr>
          <w:p w14:paraId="3934292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073F9AD6"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3BAD6AC"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41CA71A8"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3-, 4-, 5-kawoiloszikimowy</w:t>
            </w:r>
          </w:p>
        </w:tc>
        <w:tc>
          <w:tcPr>
            <w:tcW w:w="3225" w:type="dxa"/>
            <w:tcBorders>
              <w:top w:val="outset" w:sz="6" w:space="0" w:color="auto"/>
              <w:left w:val="outset" w:sz="6" w:space="0" w:color="auto"/>
              <w:bottom w:val="outset" w:sz="6" w:space="0" w:color="auto"/>
              <w:right w:val="outset" w:sz="6" w:space="0" w:color="auto"/>
            </w:tcBorders>
            <w:hideMark/>
          </w:tcPr>
          <w:p w14:paraId="0E77067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w:t>
            </w:r>
          </w:p>
        </w:tc>
      </w:tr>
      <w:tr w:rsidR="00E56A40" w:rsidRPr="00E56A40" w14:paraId="35425634"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E23BF89"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2C77C2A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xml:space="preserve">ester </w:t>
            </w:r>
            <w:r w:rsidRPr="00E56A40">
              <w:rPr>
                <w:rFonts w:ascii="Times New Roman" w:eastAsia="Times New Roman" w:hAnsi="Times New Roman" w:cs="Times New Roman"/>
                <w:i/>
                <w:iCs/>
                <w:sz w:val="24"/>
                <w:szCs w:val="24"/>
                <w:lang w:eastAsia="pl-PL"/>
              </w:rPr>
              <w:t>p</w:t>
            </w:r>
            <w:r w:rsidRPr="00E56A40">
              <w:rPr>
                <w:rFonts w:ascii="Times New Roman" w:eastAsia="Times New Roman" w:hAnsi="Times New Roman" w:cs="Times New Roman"/>
                <w:sz w:val="24"/>
                <w:szCs w:val="24"/>
                <w:lang w:eastAsia="pl-PL"/>
              </w:rPr>
              <w:t>-kumaroilowy</w:t>
            </w:r>
          </w:p>
        </w:tc>
        <w:tc>
          <w:tcPr>
            <w:tcW w:w="3225" w:type="dxa"/>
            <w:tcBorders>
              <w:top w:val="outset" w:sz="6" w:space="0" w:color="auto"/>
              <w:left w:val="outset" w:sz="6" w:space="0" w:color="auto"/>
              <w:bottom w:val="outset" w:sz="6" w:space="0" w:color="auto"/>
              <w:right w:val="outset" w:sz="6" w:space="0" w:color="auto"/>
            </w:tcBorders>
            <w:hideMark/>
          </w:tcPr>
          <w:p w14:paraId="0973A9B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[2]</w:t>
            </w:r>
          </w:p>
        </w:tc>
      </w:tr>
    </w:tbl>
    <w:p w14:paraId="4CF1CD6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 xml:space="preserve">[1] </w:t>
      </w:r>
      <w:r w:rsidRPr="00FF4196">
        <w:rPr>
          <w:rFonts w:ascii="Times New Roman" w:eastAsia="Times New Roman" w:hAnsi="Times New Roman" w:cs="Times New Roman"/>
          <w:sz w:val="24"/>
          <w:szCs w:val="24"/>
          <w:lang w:val="en-US" w:eastAsia="pl-PL"/>
        </w:rPr>
        <w:t xml:space="preserve">Parveen I., Wilson T., Threadgill M.D., Luyten J., Roberts R.E., Robson P.R.H. Donnison I.S., Hauck B., Winters A.L., 2014. Screening for potential co-products in a </w:t>
      </w:r>
      <w:r w:rsidRPr="00FF4196">
        <w:rPr>
          <w:rFonts w:ascii="Times New Roman" w:eastAsia="Times New Roman" w:hAnsi="Times New Roman" w:cs="Times New Roman"/>
          <w:i/>
          <w:iCs/>
          <w:sz w:val="24"/>
          <w:szCs w:val="24"/>
          <w:lang w:val="en-US" w:eastAsia="pl-PL"/>
        </w:rPr>
        <w:t>Miscanthus sinensis</w:t>
      </w:r>
      <w:r w:rsidRPr="00FF4196">
        <w:rPr>
          <w:rFonts w:ascii="Times New Roman" w:eastAsia="Times New Roman" w:hAnsi="Times New Roman" w:cs="Times New Roman"/>
          <w:sz w:val="24"/>
          <w:szCs w:val="24"/>
          <w:lang w:val="en-US" w:eastAsia="pl-PL"/>
        </w:rPr>
        <w:t xml:space="preserve"> mapping family by liquid chromatography with mass spectrometry detection. Phytochemistry 105, 186-196.</w:t>
      </w:r>
    </w:p>
    <w:p w14:paraId="7360B67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b/>
          <w:bCs/>
          <w:sz w:val="24"/>
          <w:szCs w:val="24"/>
          <w:lang w:val="en-US" w:eastAsia="pl-PL"/>
        </w:rPr>
        <w:t>[2]</w:t>
      </w:r>
      <w:r w:rsidRPr="00FF4196">
        <w:rPr>
          <w:rFonts w:ascii="Times New Roman" w:eastAsia="Times New Roman" w:hAnsi="Times New Roman" w:cs="Times New Roman"/>
          <w:sz w:val="24"/>
          <w:szCs w:val="24"/>
          <w:lang w:val="en-US" w:eastAsia="pl-PL"/>
        </w:rPr>
        <w:t xml:space="preserve"> Parveen I., Wilson T., Donnison I.S., Cookson A.R., Hauck B., Threadgill M.D., 2013. Potential sources of high value chemicals from leaves, stems and flowers of </w:t>
      </w:r>
      <w:r w:rsidRPr="00FF4196">
        <w:rPr>
          <w:rFonts w:ascii="Times New Roman" w:eastAsia="Times New Roman" w:hAnsi="Times New Roman" w:cs="Times New Roman"/>
          <w:i/>
          <w:iCs/>
          <w:sz w:val="24"/>
          <w:szCs w:val="24"/>
          <w:lang w:val="en-US" w:eastAsia="pl-PL"/>
        </w:rPr>
        <w:t>Miscanthus sinensis</w:t>
      </w:r>
      <w:r w:rsidRPr="00FF4196">
        <w:rPr>
          <w:rFonts w:ascii="Times New Roman" w:eastAsia="Times New Roman" w:hAnsi="Times New Roman" w:cs="Times New Roman"/>
          <w:sz w:val="24"/>
          <w:szCs w:val="24"/>
          <w:lang w:val="en-US" w:eastAsia="pl-PL"/>
        </w:rPr>
        <w:t xml:space="preserve"> ‘Goliath’ and </w:t>
      </w:r>
      <w:r w:rsidRPr="00FF4196">
        <w:rPr>
          <w:rFonts w:ascii="Times New Roman" w:eastAsia="Times New Roman" w:hAnsi="Times New Roman" w:cs="Times New Roman"/>
          <w:i/>
          <w:iCs/>
          <w:sz w:val="24"/>
          <w:szCs w:val="24"/>
          <w:lang w:val="en-US" w:eastAsia="pl-PL"/>
        </w:rPr>
        <w:t>Miscanthus sacchariflorus</w:t>
      </w:r>
      <w:r w:rsidRPr="00FF4196">
        <w:rPr>
          <w:rFonts w:ascii="Times New Roman" w:eastAsia="Times New Roman" w:hAnsi="Times New Roman" w:cs="Times New Roman"/>
          <w:sz w:val="24"/>
          <w:szCs w:val="24"/>
          <w:lang w:val="en-US" w:eastAsia="pl-PL"/>
        </w:rPr>
        <w:t xml:space="preserve">. </w:t>
      </w:r>
      <w:r w:rsidRPr="00E56A40">
        <w:rPr>
          <w:rFonts w:ascii="Times New Roman" w:eastAsia="Times New Roman" w:hAnsi="Times New Roman" w:cs="Times New Roman"/>
          <w:sz w:val="24"/>
          <w:szCs w:val="24"/>
          <w:lang w:eastAsia="pl-PL"/>
        </w:rPr>
        <w:t>Phytochemistry 92, 160-167.</w:t>
      </w:r>
    </w:p>
    <w:p w14:paraId="6044BDD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8"/>
        <w:gridCol w:w="4649"/>
        <w:gridCol w:w="2399"/>
      </w:tblGrid>
      <w:tr w:rsidR="00E56A40" w:rsidRPr="00E56A40" w14:paraId="00B7307E" w14:textId="77777777" w:rsidTr="00E56A40">
        <w:trPr>
          <w:tblCellSpacing w:w="0" w:type="dxa"/>
        </w:trPr>
        <w:tc>
          <w:tcPr>
            <w:tcW w:w="2310" w:type="dxa"/>
            <w:tcBorders>
              <w:top w:val="outset" w:sz="6" w:space="0" w:color="auto"/>
              <w:left w:val="outset" w:sz="6" w:space="0" w:color="auto"/>
              <w:bottom w:val="outset" w:sz="6" w:space="0" w:color="auto"/>
              <w:right w:val="outset" w:sz="6" w:space="0" w:color="auto"/>
            </w:tcBorders>
            <w:hideMark/>
          </w:tcPr>
          <w:p w14:paraId="4834777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Biomasa</w:t>
            </w:r>
          </w:p>
        </w:tc>
        <w:tc>
          <w:tcPr>
            <w:tcW w:w="5850" w:type="dxa"/>
            <w:tcBorders>
              <w:top w:val="outset" w:sz="6" w:space="0" w:color="auto"/>
              <w:left w:val="outset" w:sz="6" w:space="0" w:color="auto"/>
              <w:bottom w:val="outset" w:sz="6" w:space="0" w:color="auto"/>
              <w:right w:val="outset" w:sz="6" w:space="0" w:color="auto"/>
            </w:tcBorders>
            <w:hideMark/>
          </w:tcPr>
          <w:p w14:paraId="1FD7E23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Związek chemiczny</w:t>
            </w:r>
          </w:p>
        </w:tc>
        <w:tc>
          <w:tcPr>
            <w:tcW w:w="3225" w:type="dxa"/>
            <w:tcBorders>
              <w:top w:val="outset" w:sz="6" w:space="0" w:color="auto"/>
              <w:left w:val="outset" w:sz="6" w:space="0" w:color="auto"/>
              <w:bottom w:val="outset" w:sz="6" w:space="0" w:color="auto"/>
              <w:right w:val="outset" w:sz="6" w:space="0" w:color="auto"/>
            </w:tcBorders>
            <w:hideMark/>
          </w:tcPr>
          <w:p w14:paraId="380DB3C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Literatura</w:t>
            </w:r>
          </w:p>
        </w:tc>
      </w:tr>
      <w:tr w:rsidR="00E56A40" w:rsidRPr="00E56A40" w14:paraId="3CD6697C" w14:textId="77777777" w:rsidTr="00E56A40">
        <w:trPr>
          <w:tblCellSpacing w:w="0" w:type="dxa"/>
        </w:trPr>
        <w:tc>
          <w:tcPr>
            <w:tcW w:w="2310" w:type="dxa"/>
            <w:vMerge w:val="restart"/>
            <w:tcBorders>
              <w:top w:val="outset" w:sz="6" w:space="0" w:color="auto"/>
              <w:left w:val="outset" w:sz="6" w:space="0" w:color="auto"/>
              <w:bottom w:val="outset" w:sz="6" w:space="0" w:color="auto"/>
              <w:right w:val="outset" w:sz="6" w:space="0" w:color="auto"/>
            </w:tcBorders>
            <w:hideMark/>
          </w:tcPr>
          <w:p w14:paraId="0ECBF8A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 </w:t>
            </w:r>
          </w:p>
          <w:p w14:paraId="420F4FA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 </w:t>
            </w:r>
          </w:p>
          <w:p w14:paraId="606F79F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 </w:t>
            </w:r>
          </w:p>
          <w:p w14:paraId="2FA7EFF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 </w:t>
            </w:r>
          </w:p>
          <w:p w14:paraId="58ADF01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 </w:t>
            </w:r>
          </w:p>
          <w:p w14:paraId="23E1350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Miskant cukrowy</w:t>
            </w:r>
          </w:p>
          <w:p w14:paraId="11BCBCC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 (Miscanthus sacchariflorus)</w:t>
            </w:r>
          </w:p>
          <w:p w14:paraId="10A36A6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 </w:t>
            </w:r>
          </w:p>
        </w:tc>
        <w:tc>
          <w:tcPr>
            <w:tcW w:w="5850" w:type="dxa"/>
            <w:tcBorders>
              <w:top w:val="outset" w:sz="6" w:space="0" w:color="auto"/>
              <w:left w:val="outset" w:sz="6" w:space="0" w:color="auto"/>
              <w:bottom w:val="outset" w:sz="6" w:space="0" w:color="auto"/>
              <w:right w:val="outset" w:sz="6" w:space="0" w:color="auto"/>
            </w:tcBorders>
            <w:hideMark/>
          </w:tcPr>
          <w:p w14:paraId="68359CC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3-, 4-, 5-kawoilochinowy</w:t>
            </w:r>
          </w:p>
        </w:tc>
        <w:tc>
          <w:tcPr>
            <w:tcW w:w="3225" w:type="dxa"/>
            <w:tcBorders>
              <w:top w:val="outset" w:sz="6" w:space="0" w:color="auto"/>
              <w:left w:val="outset" w:sz="6" w:space="0" w:color="auto"/>
              <w:bottom w:val="outset" w:sz="6" w:space="0" w:color="auto"/>
              <w:right w:val="outset" w:sz="6" w:space="0" w:color="auto"/>
            </w:tcBorders>
            <w:hideMark/>
          </w:tcPr>
          <w:p w14:paraId="6BCD44D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2C8E7222"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8998641"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04C014A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3-, 4-feruloilochinowy</w:t>
            </w:r>
          </w:p>
        </w:tc>
        <w:tc>
          <w:tcPr>
            <w:tcW w:w="3225" w:type="dxa"/>
            <w:tcBorders>
              <w:top w:val="outset" w:sz="6" w:space="0" w:color="auto"/>
              <w:left w:val="outset" w:sz="6" w:space="0" w:color="auto"/>
              <w:bottom w:val="outset" w:sz="6" w:space="0" w:color="auto"/>
              <w:right w:val="outset" w:sz="6" w:space="0" w:color="auto"/>
            </w:tcBorders>
            <w:hideMark/>
          </w:tcPr>
          <w:p w14:paraId="57E5F90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62876C05"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6FBD42DD"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4ABB012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3-, 5-</w:t>
            </w:r>
            <w:r w:rsidRPr="00E56A40">
              <w:rPr>
                <w:rFonts w:ascii="Times New Roman" w:eastAsia="Times New Roman" w:hAnsi="Times New Roman" w:cs="Times New Roman"/>
                <w:i/>
                <w:iCs/>
                <w:sz w:val="24"/>
                <w:szCs w:val="24"/>
                <w:lang w:eastAsia="pl-PL"/>
              </w:rPr>
              <w:t>p</w:t>
            </w:r>
            <w:r w:rsidRPr="00E56A40">
              <w:rPr>
                <w:rFonts w:ascii="Times New Roman" w:eastAsia="Times New Roman" w:hAnsi="Times New Roman" w:cs="Times New Roman"/>
                <w:sz w:val="24"/>
                <w:szCs w:val="24"/>
                <w:lang w:eastAsia="pl-PL"/>
              </w:rPr>
              <w:t>-kumaroilochinowy</w:t>
            </w:r>
          </w:p>
        </w:tc>
        <w:tc>
          <w:tcPr>
            <w:tcW w:w="3225" w:type="dxa"/>
            <w:tcBorders>
              <w:top w:val="outset" w:sz="6" w:space="0" w:color="auto"/>
              <w:left w:val="outset" w:sz="6" w:space="0" w:color="auto"/>
              <w:bottom w:val="outset" w:sz="6" w:space="0" w:color="auto"/>
              <w:right w:val="outset" w:sz="6" w:space="0" w:color="auto"/>
            </w:tcBorders>
            <w:hideMark/>
          </w:tcPr>
          <w:p w14:paraId="03294D4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092A973D"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047EEFD"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62A80AF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1,4-, 3,4-, 3,5-dikawoilochinowy</w:t>
            </w:r>
          </w:p>
        </w:tc>
        <w:tc>
          <w:tcPr>
            <w:tcW w:w="3225" w:type="dxa"/>
            <w:tcBorders>
              <w:top w:val="outset" w:sz="6" w:space="0" w:color="auto"/>
              <w:left w:val="outset" w:sz="6" w:space="0" w:color="auto"/>
              <w:bottom w:val="outset" w:sz="6" w:space="0" w:color="auto"/>
              <w:right w:val="outset" w:sz="6" w:space="0" w:color="auto"/>
            </w:tcBorders>
            <w:hideMark/>
          </w:tcPr>
          <w:p w14:paraId="63BA9D1F"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73F9D29C"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1F8C4FE"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7FAA293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3-, 4-kawoiloszikimowy</w:t>
            </w:r>
          </w:p>
        </w:tc>
        <w:tc>
          <w:tcPr>
            <w:tcW w:w="3225" w:type="dxa"/>
            <w:tcBorders>
              <w:top w:val="outset" w:sz="6" w:space="0" w:color="auto"/>
              <w:left w:val="outset" w:sz="6" w:space="0" w:color="auto"/>
              <w:bottom w:val="outset" w:sz="6" w:space="0" w:color="auto"/>
              <w:right w:val="outset" w:sz="6" w:space="0" w:color="auto"/>
            </w:tcBorders>
            <w:hideMark/>
          </w:tcPr>
          <w:p w14:paraId="3DFB7D1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2EC62275"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21197EB"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07FDE5E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izowanilinowy</w:t>
            </w:r>
          </w:p>
        </w:tc>
        <w:tc>
          <w:tcPr>
            <w:tcW w:w="3225" w:type="dxa"/>
            <w:tcBorders>
              <w:top w:val="outset" w:sz="6" w:space="0" w:color="auto"/>
              <w:left w:val="outset" w:sz="6" w:space="0" w:color="auto"/>
              <w:bottom w:val="outset" w:sz="6" w:space="0" w:color="auto"/>
              <w:right w:val="outset" w:sz="6" w:space="0" w:color="auto"/>
            </w:tcBorders>
            <w:hideMark/>
          </w:tcPr>
          <w:p w14:paraId="326A302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20CA038D"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224B7A0"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55A535C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wanilinowy</w:t>
            </w:r>
          </w:p>
        </w:tc>
        <w:tc>
          <w:tcPr>
            <w:tcW w:w="3225" w:type="dxa"/>
            <w:tcBorders>
              <w:top w:val="outset" w:sz="6" w:space="0" w:color="auto"/>
              <w:left w:val="outset" w:sz="6" w:space="0" w:color="auto"/>
              <w:bottom w:val="outset" w:sz="6" w:space="0" w:color="auto"/>
              <w:right w:val="outset" w:sz="6" w:space="0" w:color="auto"/>
            </w:tcBorders>
            <w:hideMark/>
          </w:tcPr>
          <w:p w14:paraId="3E0D56D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1B198C41"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00F6F299"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1CC577C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2-, 3-, 4-hydroksybenzoesowy</w:t>
            </w:r>
          </w:p>
        </w:tc>
        <w:tc>
          <w:tcPr>
            <w:tcW w:w="3225" w:type="dxa"/>
            <w:tcBorders>
              <w:top w:val="outset" w:sz="6" w:space="0" w:color="auto"/>
              <w:left w:val="outset" w:sz="6" w:space="0" w:color="auto"/>
              <w:bottom w:val="outset" w:sz="6" w:space="0" w:color="auto"/>
              <w:right w:val="outset" w:sz="6" w:space="0" w:color="auto"/>
            </w:tcBorders>
            <w:hideMark/>
          </w:tcPr>
          <w:p w14:paraId="5E91D15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56DAE00E"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E2662E5"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61ACB764"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2,3-, 2,5-, 3,4-dihydroksybenzoesowy</w:t>
            </w:r>
          </w:p>
        </w:tc>
        <w:tc>
          <w:tcPr>
            <w:tcW w:w="3225" w:type="dxa"/>
            <w:tcBorders>
              <w:top w:val="outset" w:sz="6" w:space="0" w:color="auto"/>
              <w:left w:val="outset" w:sz="6" w:space="0" w:color="auto"/>
              <w:bottom w:val="outset" w:sz="6" w:space="0" w:color="auto"/>
              <w:right w:val="outset" w:sz="6" w:space="0" w:color="auto"/>
            </w:tcBorders>
            <w:hideMark/>
          </w:tcPr>
          <w:p w14:paraId="3A046D1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523029EA"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25D24FDB"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104E4513"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2- kawoilotreonowy</w:t>
            </w:r>
          </w:p>
        </w:tc>
        <w:tc>
          <w:tcPr>
            <w:tcW w:w="3225" w:type="dxa"/>
            <w:tcBorders>
              <w:top w:val="outset" w:sz="6" w:space="0" w:color="auto"/>
              <w:left w:val="outset" w:sz="6" w:space="0" w:color="auto"/>
              <w:bottom w:val="outset" w:sz="6" w:space="0" w:color="auto"/>
              <w:right w:val="outset" w:sz="6" w:space="0" w:color="auto"/>
            </w:tcBorders>
            <w:hideMark/>
          </w:tcPr>
          <w:p w14:paraId="25BCAC71"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41C56C00"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CC4DF0F"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47AE0F40"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kwas 2- feruloilohydroksycytrynowy</w:t>
            </w:r>
          </w:p>
        </w:tc>
        <w:tc>
          <w:tcPr>
            <w:tcW w:w="3225" w:type="dxa"/>
            <w:tcBorders>
              <w:top w:val="outset" w:sz="6" w:space="0" w:color="auto"/>
              <w:left w:val="outset" w:sz="6" w:space="0" w:color="auto"/>
              <w:bottom w:val="outset" w:sz="6" w:space="0" w:color="auto"/>
              <w:right w:val="outset" w:sz="6" w:space="0" w:color="auto"/>
            </w:tcBorders>
            <w:hideMark/>
          </w:tcPr>
          <w:p w14:paraId="7B8BEB0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bl>
    <w:p w14:paraId="4DCD15D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b/>
          <w:bCs/>
          <w:sz w:val="24"/>
          <w:szCs w:val="24"/>
          <w:lang w:val="en-US" w:eastAsia="pl-PL"/>
        </w:rPr>
        <w:t>[1]</w:t>
      </w:r>
      <w:r w:rsidRPr="00FF4196">
        <w:rPr>
          <w:rFonts w:ascii="Times New Roman" w:eastAsia="Times New Roman" w:hAnsi="Times New Roman" w:cs="Times New Roman"/>
          <w:sz w:val="24"/>
          <w:szCs w:val="24"/>
          <w:lang w:val="en-US" w:eastAsia="pl-PL"/>
        </w:rPr>
        <w:t xml:space="preserve"> Parveen I., Wilson T., Donnison I.S., Cookson A.R., Hauck B., Threadgill M.D., 2013. Potential sources of high value chemicals from leaves, stems and flowers of </w:t>
      </w:r>
      <w:r w:rsidRPr="00FF4196">
        <w:rPr>
          <w:rFonts w:ascii="Times New Roman" w:eastAsia="Times New Roman" w:hAnsi="Times New Roman" w:cs="Times New Roman"/>
          <w:i/>
          <w:iCs/>
          <w:sz w:val="24"/>
          <w:szCs w:val="24"/>
          <w:lang w:val="en-US" w:eastAsia="pl-PL"/>
        </w:rPr>
        <w:t>Miscanthus sinensis</w:t>
      </w:r>
      <w:r w:rsidRPr="00FF4196">
        <w:rPr>
          <w:rFonts w:ascii="Times New Roman" w:eastAsia="Times New Roman" w:hAnsi="Times New Roman" w:cs="Times New Roman"/>
          <w:sz w:val="24"/>
          <w:szCs w:val="24"/>
          <w:lang w:val="en-US" w:eastAsia="pl-PL"/>
        </w:rPr>
        <w:t xml:space="preserve"> ‘Goliath’ and </w:t>
      </w:r>
      <w:r w:rsidRPr="00FF4196">
        <w:rPr>
          <w:rFonts w:ascii="Times New Roman" w:eastAsia="Times New Roman" w:hAnsi="Times New Roman" w:cs="Times New Roman"/>
          <w:i/>
          <w:iCs/>
          <w:sz w:val="24"/>
          <w:szCs w:val="24"/>
          <w:lang w:val="en-US" w:eastAsia="pl-PL"/>
        </w:rPr>
        <w:t>Miscanthus sacchariflorus</w:t>
      </w:r>
      <w:r w:rsidRPr="00FF4196">
        <w:rPr>
          <w:rFonts w:ascii="Times New Roman" w:eastAsia="Times New Roman" w:hAnsi="Times New Roman" w:cs="Times New Roman"/>
          <w:sz w:val="24"/>
          <w:szCs w:val="24"/>
          <w:lang w:val="en-US" w:eastAsia="pl-PL"/>
        </w:rPr>
        <w:t xml:space="preserve">. </w:t>
      </w:r>
      <w:r w:rsidRPr="00E56A40">
        <w:rPr>
          <w:rFonts w:ascii="Times New Roman" w:eastAsia="Times New Roman" w:hAnsi="Times New Roman" w:cs="Times New Roman"/>
          <w:sz w:val="24"/>
          <w:szCs w:val="24"/>
          <w:lang w:eastAsia="pl-PL"/>
        </w:rPr>
        <w:t>Phytochemistry 92, 160-167.</w:t>
      </w:r>
    </w:p>
    <w:p w14:paraId="4FCBAAC7" w14:textId="78CA0BBC" w:rsid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7A31152B" w14:textId="48061153" w:rsid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p>
    <w:p w14:paraId="2BD37CF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47"/>
        <w:gridCol w:w="4480"/>
        <w:gridCol w:w="2629"/>
      </w:tblGrid>
      <w:tr w:rsidR="00E56A40" w:rsidRPr="00E56A40" w14:paraId="6F65110C" w14:textId="77777777" w:rsidTr="00E56A40">
        <w:trPr>
          <w:tblCellSpacing w:w="0" w:type="dxa"/>
        </w:trPr>
        <w:tc>
          <w:tcPr>
            <w:tcW w:w="2310" w:type="dxa"/>
            <w:tcBorders>
              <w:top w:val="outset" w:sz="6" w:space="0" w:color="auto"/>
              <w:left w:val="outset" w:sz="6" w:space="0" w:color="auto"/>
              <w:bottom w:val="outset" w:sz="6" w:space="0" w:color="auto"/>
              <w:right w:val="outset" w:sz="6" w:space="0" w:color="auto"/>
            </w:tcBorders>
            <w:hideMark/>
          </w:tcPr>
          <w:p w14:paraId="53636DAE"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lastRenderedPageBreak/>
              <w:t>Materiał (gatunek)</w:t>
            </w:r>
          </w:p>
        </w:tc>
        <w:tc>
          <w:tcPr>
            <w:tcW w:w="5850" w:type="dxa"/>
            <w:tcBorders>
              <w:top w:val="outset" w:sz="6" w:space="0" w:color="auto"/>
              <w:left w:val="outset" w:sz="6" w:space="0" w:color="auto"/>
              <w:bottom w:val="outset" w:sz="6" w:space="0" w:color="auto"/>
              <w:right w:val="outset" w:sz="6" w:space="0" w:color="auto"/>
            </w:tcBorders>
            <w:hideMark/>
          </w:tcPr>
          <w:p w14:paraId="2873A0CD"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Związek czynny</w:t>
            </w:r>
          </w:p>
        </w:tc>
        <w:tc>
          <w:tcPr>
            <w:tcW w:w="3225" w:type="dxa"/>
            <w:tcBorders>
              <w:top w:val="outset" w:sz="6" w:space="0" w:color="auto"/>
              <w:left w:val="outset" w:sz="6" w:space="0" w:color="auto"/>
              <w:bottom w:val="outset" w:sz="6" w:space="0" w:color="auto"/>
              <w:right w:val="outset" w:sz="6" w:space="0" w:color="auto"/>
            </w:tcBorders>
            <w:hideMark/>
          </w:tcPr>
          <w:p w14:paraId="76ECA439"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Literatura</w:t>
            </w:r>
          </w:p>
        </w:tc>
      </w:tr>
      <w:tr w:rsidR="00E56A40" w:rsidRPr="00E56A40" w14:paraId="778169F5" w14:textId="77777777" w:rsidTr="00E56A40">
        <w:trPr>
          <w:tblCellSpacing w:w="0" w:type="dxa"/>
        </w:trPr>
        <w:tc>
          <w:tcPr>
            <w:tcW w:w="2310" w:type="dxa"/>
            <w:vMerge w:val="restart"/>
            <w:tcBorders>
              <w:top w:val="outset" w:sz="6" w:space="0" w:color="auto"/>
              <w:left w:val="outset" w:sz="6" w:space="0" w:color="auto"/>
              <w:bottom w:val="outset" w:sz="6" w:space="0" w:color="auto"/>
              <w:right w:val="outset" w:sz="6" w:space="0" w:color="auto"/>
            </w:tcBorders>
            <w:hideMark/>
          </w:tcPr>
          <w:p w14:paraId="134BDA6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 </w:t>
            </w:r>
          </w:p>
          <w:p w14:paraId="600610DB"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Spartina preriowa</w:t>
            </w:r>
          </w:p>
          <w:p w14:paraId="63C19C4A"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 </w:t>
            </w:r>
            <w:r w:rsidRPr="00E56A40">
              <w:rPr>
                <w:rFonts w:ascii="Times New Roman" w:eastAsia="Times New Roman" w:hAnsi="Times New Roman" w:cs="Times New Roman"/>
                <w:b/>
                <w:bCs/>
                <w:sz w:val="24"/>
                <w:szCs w:val="24"/>
                <w:lang w:eastAsia="pl-PL"/>
              </w:rPr>
              <w:t>(</w:t>
            </w:r>
            <w:r w:rsidRPr="00E56A40">
              <w:rPr>
                <w:rFonts w:ascii="Times New Roman" w:eastAsia="Times New Roman" w:hAnsi="Times New Roman" w:cs="Times New Roman"/>
                <w:b/>
                <w:bCs/>
                <w:i/>
                <w:iCs/>
                <w:sz w:val="24"/>
                <w:szCs w:val="24"/>
                <w:lang w:eastAsia="pl-PL"/>
              </w:rPr>
              <w:t>Spartina pectinata</w:t>
            </w:r>
            <w:r w:rsidRPr="00E56A40">
              <w:rPr>
                <w:rFonts w:ascii="Times New Roman" w:eastAsia="Times New Roman" w:hAnsi="Times New Roman" w:cs="Times New Roman"/>
                <w:b/>
                <w:bCs/>
                <w:sz w:val="24"/>
                <w:szCs w:val="24"/>
                <w:lang w:eastAsia="pl-PL"/>
              </w:rPr>
              <w:t>)</w:t>
            </w:r>
          </w:p>
          <w:p w14:paraId="1595B0F5"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 </w:t>
            </w:r>
          </w:p>
        </w:tc>
        <w:tc>
          <w:tcPr>
            <w:tcW w:w="5850" w:type="dxa"/>
            <w:tcBorders>
              <w:top w:val="outset" w:sz="6" w:space="0" w:color="auto"/>
              <w:left w:val="outset" w:sz="6" w:space="0" w:color="auto"/>
              <w:bottom w:val="outset" w:sz="6" w:space="0" w:color="auto"/>
              <w:right w:val="outset" w:sz="6" w:space="0" w:color="auto"/>
            </w:tcBorders>
            <w:hideMark/>
          </w:tcPr>
          <w:p w14:paraId="2AB253F6"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trycyna</w:t>
            </w:r>
          </w:p>
        </w:tc>
        <w:tc>
          <w:tcPr>
            <w:tcW w:w="3225" w:type="dxa"/>
            <w:tcBorders>
              <w:top w:val="outset" w:sz="6" w:space="0" w:color="auto"/>
              <w:left w:val="outset" w:sz="6" w:space="0" w:color="auto"/>
              <w:bottom w:val="outset" w:sz="6" w:space="0" w:color="auto"/>
              <w:right w:val="outset" w:sz="6" w:space="0" w:color="auto"/>
            </w:tcBorders>
            <w:hideMark/>
          </w:tcPr>
          <w:p w14:paraId="164BDD9C"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r w:rsidR="00E56A40" w:rsidRPr="00E56A40" w14:paraId="60E1EAB5" w14:textId="77777777" w:rsidTr="00E56A40">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ACAD65D"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p>
        </w:tc>
        <w:tc>
          <w:tcPr>
            <w:tcW w:w="5850" w:type="dxa"/>
            <w:tcBorders>
              <w:top w:val="outset" w:sz="6" w:space="0" w:color="auto"/>
              <w:left w:val="outset" w:sz="6" w:space="0" w:color="auto"/>
              <w:bottom w:val="outset" w:sz="6" w:space="0" w:color="auto"/>
              <w:right w:val="outset" w:sz="6" w:space="0" w:color="auto"/>
            </w:tcBorders>
            <w:hideMark/>
          </w:tcPr>
          <w:p w14:paraId="128E7917"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C-glikozydy flawonu</w:t>
            </w:r>
          </w:p>
        </w:tc>
        <w:tc>
          <w:tcPr>
            <w:tcW w:w="3225" w:type="dxa"/>
            <w:tcBorders>
              <w:top w:val="outset" w:sz="6" w:space="0" w:color="auto"/>
              <w:left w:val="outset" w:sz="6" w:space="0" w:color="auto"/>
              <w:bottom w:val="outset" w:sz="6" w:space="0" w:color="auto"/>
              <w:right w:val="outset" w:sz="6" w:space="0" w:color="auto"/>
            </w:tcBorders>
            <w:hideMark/>
          </w:tcPr>
          <w:p w14:paraId="7EC82FE2" w14:textId="77777777" w:rsidR="00E56A40" w:rsidRPr="00E56A40" w:rsidRDefault="00E56A40" w:rsidP="00E56A4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[1]</w:t>
            </w:r>
          </w:p>
        </w:tc>
      </w:tr>
    </w:tbl>
    <w:p w14:paraId="55F61A76" w14:textId="6B6EB599"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 xml:space="preserve">[1] </w:t>
      </w:r>
      <w:r w:rsidRPr="00FF4196">
        <w:rPr>
          <w:rFonts w:ascii="Times New Roman" w:eastAsia="Times New Roman" w:hAnsi="Times New Roman" w:cs="Times New Roman"/>
          <w:sz w:val="24"/>
          <w:szCs w:val="24"/>
          <w:lang w:val="en-US" w:eastAsia="pl-PL"/>
        </w:rPr>
        <w:t>Harborne J.B., Williams C.A., 1976. Flavonoid patterns in leaves of the gramineae. Biochemical Systematics and Ecology 4,</w:t>
      </w:r>
    </w:p>
    <w:p w14:paraId="1139978F" w14:textId="69780EDB"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p>
    <w:p w14:paraId="3DDED375" w14:textId="2862F890"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p>
    <w:p w14:paraId="77E6639B" w14:textId="5C883375"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p>
    <w:p w14:paraId="702AFCF9" w14:textId="3C37C4C2"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p>
    <w:p w14:paraId="42841A52" w14:textId="60F29F71"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p>
    <w:p w14:paraId="56DBA238" w14:textId="42EB14F6"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p>
    <w:p w14:paraId="4F8FFA4E" w14:textId="6182737A"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p>
    <w:p w14:paraId="26E3D5EB" w14:textId="77777777" w:rsidR="00E56A40" w:rsidRPr="00FF4196" w:rsidRDefault="00E56A40" w:rsidP="00E56A40">
      <w:pPr>
        <w:pStyle w:val="Nagwek1"/>
        <w:rPr>
          <w:lang w:val="en-US"/>
        </w:rPr>
      </w:pPr>
      <w:r w:rsidRPr="00FF4196">
        <w:rPr>
          <w:lang w:val="en-US"/>
        </w:rPr>
        <w:t>PLantEXtract (PLEX database)</w:t>
      </w:r>
    </w:p>
    <w:p w14:paraId="0D926EC4" w14:textId="4BAA9F4D" w:rsidR="00E56A40" w:rsidRPr="00FF4196" w:rsidRDefault="00E56A40" w:rsidP="00E56A40">
      <w:pPr>
        <w:pStyle w:val="NormalnyWeb"/>
        <w:rPr>
          <w:lang w:val="en-US"/>
        </w:rPr>
      </w:pPr>
      <w:r>
        <w:rPr>
          <w:noProof/>
        </w:rPr>
        <w:drawing>
          <wp:inline distT="0" distB="0" distL="0" distR="0" wp14:anchorId="018748C9" wp14:editId="6B558A61">
            <wp:extent cx="1409700" cy="525780"/>
            <wp:effectExtent l="0" t="0" r="0" b="7620"/>
            <wp:docPr id="8" name="Obraz 8">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9700" cy="525780"/>
                    </a:xfrm>
                    <a:prstGeom prst="rect">
                      <a:avLst/>
                    </a:prstGeom>
                    <a:noFill/>
                    <a:ln>
                      <a:noFill/>
                    </a:ln>
                  </pic:spPr>
                </pic:pic>
              </a:graphicData>
            </a:graphic>
          </wp:inline>
        </w:drawing>
      </w:r>
      <w:r w:rsidRPr="00FF4196">
        <w:rPr>
          <w:rStyle w:val="Pogrubienie"/>
          <w:color w:val="FF0000"/>
          <w:sz w:val="36"/>
          <w:szCs w:val="36"/>
          <w:lang w:val="en-US"/>
        </w:rPr>
        <w:t xml:space="preserve">                  </w:t>
      </w:r>
      <w:r>
        <w:rPr>
          <w:noProof/>
        </w:rPr>
        <w:drawing>
          <wp:inline distT="0" distB="0" distL="0" distR="0" wp14:anchorId="3DFFE6B7" wp14:editId="6E8E35EB">
            <wp:extent cx="906780" cy="807720"/>
            <wp:effectExtent l="0" t="0" r="762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6780" cy="807720"/>
                    </a:xfrm>
                    <a:prstGeom prst="rect">
                      <a:avLst/>
                    </a:prstGeom>
                    <a:noFill/>
                    <a:ln>
                      <a:noFill/>
                    </a:ln>
                  </pic:spPr>
                </pic:pic>
              </a:graphicData>
            </a:graphic>
          </wp:inline>
        </w:drawing>
      </w:r>
      <w:r w:rsidRPr="00FF4196">
        <w:rPr>
          <w:rStyle w:val="Pogrubienie"/>
          <w:color w:val="FF0000"/>
          <w:sz w:val="36"/>
          <w:szCs w:val="36"/>
          <w:lang w:val="en-US"/>
        </w:rPr>
        <w:t xml:space="preserve">                  </w:t>
      </w:r>
      <w:r>
        <w:rPr>
          <w:noProof/>
        </w:rPr>
        <w:drawing>
          <wp:inline distT="0" distB="0" distL="0" distR="0" wp14:anchorId="1D42CDF4" wp14:editId="28EF600A">
            <wp:extent cx="365760" cy="335280"/>
            <wp:effectExtent l="0" t="0" r="0" b="7620"/>
            <wp:docPr id="6" name="Obraz 6">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5760" cy="335280"/>
                    </a:xfrm>
                    <a:prstGeom prst="rect">
                      <a:avLst/>
                    </a:prstGeom>
                    <a:noFill/>
                    <a:ln>
                      <a:noFill/>
                    </a:ln>
                  </pic:spPr>
                </pic:pic>
              </a:graphicData>
            </a:graphic>
          </wp:inline>
        </w:drawing>
      </w:r>
    </w:p>
    <w:p w14:paraId="45B0193D" w14:textId="77777777" w:rsidR="00E56A40" w:rsidRPr="00FF4196" w:rsidRDefault="00E56A40" w:rsidP="00E56A40">
      <w:pPr>
        <w:pStyle w:val="NormalnyWeb"/>
        <w:rPr>
          <w:lang w:val="en-US"/>
        </w:rPr>
      </w:pPr>
      <w:r w:rsidRPr="00FF4196">
        <w:rPr>
          <w:lang w:val="en-US"/>
        </w:rPr>
        <w:t> </w:t>
      </w:r>
    </w:p>
    <w:p w14:paraId="0FC5104E" w14:textId="77777777" w:rsidR="00E56A40" w:rsidRPr="00FF4196" w:rsidRDefault="00E56A40" w:rsidP="00E56A40">
      <w:pPr>
        <w:pStyle w:val="NormalnyWeb"/>
        <w:rPr>
          <w:lang w:val="en-US"/>
        </w:rPr>
      </w:pPr>
      <w:r w:rsidRPr="00FF4196">
        <w:rPr>
          <w:rStyle w:val="Pogrubienie"/>
          <w:lang w:val="en-US"/>
        </w:rPr>
        <w:t>BIOproducts</w:t>
      </w:r>
      <w:r w:rsidRPr="00FF4196">
        <w:rPr>
          <w:lang w:val="en-US"/>
        </w:rPr>
        <w:t> </w:t>
      </w:r>
      <w:r w:rsidRPr="00FF4196">
        <w:rPr>
          <w:rStyle w:val="Pogrubienie"/>
          <w:lang w:val="en-US"/>
        </w:rPr>
        <w:t>from lignocellulosic biomass derived from MArginal land to fill the Gap In Current national</w:t>
      </w:r>
      <w:r w:rsidRPr="00FF4196">
        <w:rPr>
          <w:lang w:val="en-US"/>
        </w:rPr>
        <w:t> </w:t>
      </w:r>
      <w:r w:rsidRPr="00FF4196">
        <w:rPr>
          <w:rStyle w:val="Pogrubienie"/>
          <w:lang w:val="en-US"/>
        </w:rPr>
        <w:t>bioeconomy - BIOMAGIC</w:t>
      </w:r>
    </w:p>
    <w:p w14:paraId="160F3D55" w14:textId="77777777" w:rsidR="00E56A40" w:rsidRPr="00FF4196" w:rsidRDefault="00E56A40" w:rsidP="00E56A40">
      <w:pPr>
        <w:pStyle w:val="NormalnyWeb"/>
        <w:rPr>
          <w:lang w:val="en-US"/>
        </w:rPr>
      </w:pPr>
      <w:r w:rsidRPr="00FF4196">
        <w:rPr>
          <w:lang w:val="en-US"/>
        </w:rPr>
        <w:t> </w:t>
      </w:r>
    </w:p>
    <w:p w14:paraId="61B093CF" w14:textId="77777777" w:rsidR="00E56A40" w:rsidRDefault="00E56A40" w:rsidP="00E56A40">
      <w:pPr>
        <w:pStyle w:val="NormalnyWeb"/>
      </w:pPr>
      <w:r>
        <w:rPr>
          <w:rStyle w:val="Pogrubienie"/>
        </w:rPr>
        <w:t>Projekt finansowany przez Narodowe Centrum Badań i Rozwoju w ramach programu BIOSTRATEG</w:t>
      </w:r>
    </w:p>
    <w:p w14:paraId="4E23534D" w14:textId="77777777" w:rsidR="00E56A40" w:rsidRDefault="00E56A40" w:rsidP="00E56A40">
      <w:pPr>
        <w:pStyle w:val="NormalnyWeb"/>
      </w:pPr>
      <w:r>
        <w:t> </w:t>
      </w:r>
    </w:p>
    <w:p w14:paraId="3C3F886A" w14:textId="77777777" w:rsidR="00E56A40" w:rsidRDefault="00E56A40" w:rsidP="00E56A40">
      <w:pPr>
        <w:pStyle w:val="NormalnyWeb"/>
      </w:pPr>
      <w:r>
        <w:t> </w:t>
      </w:r>
    </w:p>
    <w:p w14:paraId="6C61235F" w14:textId="77777777" w:rsidR="00E56A40" w:rsidRDefault="00E56A40" w:rsidP="00E56A40">
      <w:pPr>
        <w:pStyle w:val="NormalnyWeb"/>
      </w:pPr>
      <w:r>
        <w:lastRenderedPageBreak/>
        <w:t> </w:t>
      </w:r>
    </w:p>
    <w:p w14:paraId="6596DDAF" w14:textId="77777777" w:rsidR="00E56A40" w:rsidRPr="00FF4196" w:rsidRDefault="00E56A40" w:rsidP="00E56A40">
      <w:pPr>
        <w:pStyle w:val="NormalnyWeb"/>
        <w:rPr>
          <w:lang w:val="en-US"/>
        </w:rPr>
      </w:pPr>
      <w:r w:rsidRPr="00FF4196">
        <w:rPr>
          <w:rStyle w:val="Pogrubienie"/>
          <w:color w:val="FF0000"/>
          <w:sz w:val="36"/>
          <w:szCs w:val="36"/>
          <w:lang w:val="en-US"/>
        </w:rPr>
        <w:t>PLantEXtract (PLEX database)</w:t>
      </w:r>
    </w:p>
    <w:p w14:paraId="67C36B3F" w14:textId="77777777" w:rsidR="00E56A40" w:rsidRPr="00FF4196" w:rsidRDefault="00E56A40" w:rsidP="00E56A40">
      <w:pPr>
        <w:pStyle w:val="NormalnyWeb"/>
        <w:rPr>
          <w:lang w:val="en-US"/>
        </w:rPr>
      </w:pPr>
      <w:r w:rsidRPr="00FF4196">
        <w:rPr>
          <w:lang w:val="en-US"/>
        </w:rPr>
        <w:t>Date: 19.05.2018 update: 28.12.2018</w:t>
      </w:r>
    </w:p>
    <w:p w14:paraId="4EF64693" w14:textId="77777777" w:rsidR="00E56A40" w:rsidRPr="00FF4196" w:rsidRDefault="00E56A40" w:rsidP="00E56A40">
      <w:pPr>
        <w:pStyle w:val="NormalnyWeb"/>
        <w:rPr>
          <w:lang w:val="en-US"/>
        </w:rPr>
      </w:pPr>
      <w:r w:rsidRPr="00FF4196">
        <w:rPr>
          <w:lang w:val="en-US"/>
        </w:rPr>
        <w:t> </w:t>
      </w:r>
    </w:p>
    <w:p w14:paraId="58FE4473" w14:textId="77777777" w:rsidR="00E56A40" w:rsidRPr="00FF4196" w:rsidRDefault="00E56A40" w:rsidP="00E56A40">
      <w:pPr>
        <w:pStyle w:val="NormalnyWeb"/>
        <w:rPr>
          <w:lang w:val="en-US"/>
        </w:rPr>
      </w:pPr>
      <w:r w:rsidRPr="00FF4196">
        <w:rPr>
          <w:lang w:val="en-US"/>
        </w:rPr>
        <w:t>Robinia pseudoacacia (Robinia akacjowa)</w:t>
      </w:r>
    </w:p>
    <w:p w14:paraId="2D94E1D2" w14:textId="77777777" w:rsidR="00E56A40" w:rsidRPr="00FF4196" w:rsidRDefault="00E56A40" w:rsidP="00E56A40">
      <w:pPr>
        <w:pStyle w:val="NormalnyWeb"/>
        <w:rPr>
          <w:lang w:val="en-US"/>
        </w:rPr>
      </w:pPr>
      <w:r w:rsidRPr="00FF4196">
        <w:rPr>
          <w:lang w:val="en-US"/>
        </w:rPr>
        <w:t>(</w:t>
      </w:r>
      <w:hyperlink r:id="rId10" w:anchor="_ENREF_46" w:tooltip="Pharriss, 1967 #12" w:history="1">
        <w:r w:rsidRPr="00FF4196">
          <w:rPr>
            <w:rStyle w:val="Hipercze"/>
            <w:lang w:val="en-US"/>
          </w:rPr>
          <w:t>Pharriss and Russell 1967</w:t>
        </w:r>
      </w:hyperlink>
      <w:r w:rsidRPr="00FF4196">
        <w:rPr>
          <w:lang w:val="en-US"/>
        </w:rPr>
        <w:t xml:space="preserve">, </w:t>
      </w:r>
      <w:hyperlink r:id="rId11" w:anchor="_ENREF_24" w:tooltip="Kauss, 1974 #11" w:history="1">
        <w:r w:rsidRPr="00FF4196">
          <w:rPr>
            <w:rStyle w:val="Hipercze"/>
            <w:lang w:val="en-US"/>
          </w:rPr>
          <w:t>Kauss and Ziegler 1974</w:t>
        </w:r>
      </w:hyperlink>
      <w:r w:rsidRPr="00FF4196">
        <w:rPr>
          <w:lang w:val="en-US"/>
        </w:rPr>
        <w:t xml:space="preserve">, </w:t>
      </w:r>
      <w:hyperlink r:id="rId12" w:anchor="_ENREF_58" w:tooltip="Tian, 2000 #10" w:history="1">
        <w:r w:rsidRPr="00FF4196">
          <w:rPr>
            <w:rStyle w:val="Hipercze"/>
            <w:lang w:val="en-US"/>
          </w:rPr>
          <w:t>Tian and McLaughlin 2000</w:t>
        </w:r>
      </w:hyperlink>
      <w:r w:rsidRPr="00FF4196">
        <w:rPr>
          <w:lang w:val="en-US"/>
        </w:rPr>
        <w:t xml:space="preserve">, </w:t>
      </w:r>
      <w:hyperlink r:id="rId13" w:anchor="_ENREF_15" w:tooltip="Hamada, 2004 #9" w:history="1">
        <w:r w:rsidRPr="00FF4196">
          <w:rPr>
            <w:rStyle w:val="Hipercze"/>
            <w:lang w:val="en-US"/>
          </w:rPr>
          <w:t>Hamada, Nishida et al. 2004</w:t>
        </w:r>
      </w:hyperlink>
      <w:r w:rsidRPr="00FF4196">
        <w:rPr>
          <w:lang w:val="en-US"/>
        </w:rPr>
        <w:t xml:space="preserve">, </w:t>
      </w:r>
      <w:hyperlink r:id="rId14" w:anchor="_ENREF_32" w:tooltip="Loureiro, 2005 #8" w:history="1">
        <w:r w:rsidRPr="00FF4196">
          <w:rPr>
            <w:rStyle w:val="Hipercze"/>
            <w:lang w:val="en-US"/>
          </w:rPr>
          <w:t>Loureiro, Rabaca et al. 2005</w:t>
        </w:r>
      </w:hyperlink>
      <w:r w:rsidRPr="00FF4196">
        <w:rPr>
          <w:lang w:val="en-US"/>
        </w:rPr>
        <w:t xml:space="preserve">, </w:t>
      </w:r>
      <w:hyperlink r:id="rId15" w:anchor="_ENREF_6" w:tooltip="Compes, 2006 #7" w:history="1">
        <w:r w:rsidRPr="00FF4196">
          <w:rPr>
            <w:rStyle w:val="Hipercze"/>
            <w:lang w:val="en-US"/>
          </w:rPr>
          <w:t>Compes, Hernandez et al. 2006</w:t>
        </w:r>
      </w:hyperlink>
      <w:r w:rsidRPr="00FF4196">
        <w:rPr>
          <w:lang w:val="en-US"/>
        </w:rPr>
        <w:t xml:space="preserve">, </w:t>
      </w:r>
      <w:hyperlink r:id="rId16" w:anchor="_ENREF_22" w:tooltip="Kamo, 2012 #3" w:history="1">
        <w:r w:rsidRPr="00FF4196">
          <w:rPr>
            <w:rStyle w:val="Hipercze"/>
            <w:lang w:val="en-US"/>
          </w:rPr>
          <w:t>Kamo, Tokuoka et al. 2012</w:t>
        </w:r>
      </w:hyperlink>
      <w:r w:rsidRPr="00FF4196">
        <w:rPr>
          <w:lang w:val="en-US"/>
        </w:rPr>
        <w:t xml:space="preserve">, </w:t>
      </w:r>
      <w:hyperlink r:id="rId17" w:anchor="_ENREF_25" w:tooltip="Kim, 2012 #5" w:history="1">
        <w:r w:rsidRPr="00FF4196">
          <w:rPr>
            <w:rStyle w:val="Hipercze"/>
            <w:lang w:val="en-US"/>
          </w:rPr>
          <w:t>Kim, Lee et al. 2012</w:t>
        </w:r>
      </w:hyperlink>
      <w:r w:rsidRPr="00FF4196">
        <w:rPr>
          <w:lang w:val="en-US"/>
        </w:rPr>
        <w:t xml:space="preserve">, </w:t>
      </w:r>
      <w:hyperlink r:id="rId18" w:anchor="_ENREF_41" w:tooltip="Mertoglu-Elmas, 2012 #2" w:history="1">
        <w:r w:rsidRPr="00FF4196">
          <w:rPr>
            <w:rStyle w:val="Hipercze"/>
            <w:lang w:val="en-US"/>
          </w:rPr>
          <w:t>Mertoglu-Elmas, Gunaydin et al. 2012</w:t>
        </w:r>
      </w:hyperlink>
      <w:r w:rsidRPr="00FF4196">
        <w:rPr>
          <w:lang w:val="en-US"/>
        </w:rPr>
        <w:t xml:space="preserve">, </w:t>
      </w:r>
      <w:hyperlink r:id="rId19" w:anchor="_ENREF_51" w:tooltip="Rios-de Alvarez, 2012 #6" w:history="1">
        <w:r w:rsidRPr="00FF4196">
          <w:rPr>
            <w:rStyle w:val="Hipercze"/>
            <w:lang w:val="en-US"/>
          </w:rPr>
          <w:t>Rios-de Alvarez, Jackson et al. 2012</w:t>
        </w:r>
      </w:hyperlink>
      <w:r w:rsidRPr="00FF4196">
        <w:rPr>
          <w:lang w:val="en-US"/>
        </w:rPr>
        <w:t xml:space="preserve">, </w:t>
      </w:r>
      <w:hyperlink r:id="rId20" w:anchor="_ENREF_23" w:tooltip="Katiki, 2013 #4" w:history="1">
        <w:r w:rsidRPr="00FF4196">
          <w:rPr>
            <w:rStyle w:val="Hipercze"/>
            <w:lang w:val="en-US"/>
          </w:rPr>
          <w:t>Katiki, Ferreira et al. 2013</w:t>
        </w:r>
      </w:hyperlink>
      <w:r w:rsidRPr="00FF4196">
        <w:rPr>
          <w:lang w:val="en-US"/>
        </w:rPr>
        <w:t xml:space="preserve">, </w:t>
      </w:r>
      <w:hyperlink r:id="rId21" w:anchor="_ENREF_45" w:tooltip="Patra, 2015 #1" w:history="1">
        <w:r w:rsidRPr="00FF4196">
          <w:rPr>
            <w:rStyle w:val="Hipercze"/>
            <w:lang w:val="en-US"/>
          </w:rPr>
          <w:t>Patra, Kim et al. 2015</w:t>
        </w:r>
      </w:hyperlink>
      <w:r w:rsidRPr="00FF4196">
        <w:rPr>
          <w:lang w:val="en-US"/>
        </w:rPr>
        <w:t>)</w:t>
      </w:r>
    </w:p>
    <w:p w14:paraId="43A7FA4C" w14:textId="77777777" w:rsidR="00E56A40" w:rsidRPr="00FF4196" w:rsidRDefault="00E56A40" w:rsidP="00E56A40">
      <w:pPr>
        <w:pStyle w:val="NormalnyWeb"/>
        <w:rPr>
          <w:lang w:val="en-US"/>
        </w:rPr>
      </w:pPr>
      <w:r w:rsidRPr="00FF4196">
        <w:rPr>
          <w:lang w:val="en-US"/>
        </w:rPr>
        <w:t>Salix purpurea (Wierzba purpurowa)</w:t>
      </w:r>
    </w:p>
    <w:p w14:paraId="1E3A1A9D" w14:textId="77777777" w:rsidR="00E56A40" w:rsidRPr="00FF4196" w:rsidRDefault="00E56A40" w:rsidP="00E56A40">
      <w:pPr>
        <w:pStyle w:val="NormalnyWeb"/>
        <w:rPr>
          <w:lang w:val="en-US"/>
        </w:rPr>
      </w:pPr>
      <w:r w:rsidRPr="00FF4196">
        <w:rPr>
          <w:lang w:val="en-US"/>
        </w:rPr>
        <w:t>(</w:t>
      </w:r>
      <w:hyperlink r:id="rId22" w:anchor="_ENREF_21" w:tooltip="Kammerer, 2005 #17" w:history="1">
        <w:r w:rsidRPr="00FF4196">
          <w:rPr>
            <w:rStyle w:val="Hipercze"/>
            <w:lang w:val="en-US"/>
          </w:rPr>
          <w:t>Kammerer, Kahlich et al. 2005</w:t>
        </w:r>
      </w:hyperlink>
      <w:r w:rsidRPr="00FF4196">
        <w:rPr>
          <w:lang w:val="en-US"/>
        </w:rPr>
        <w:t xml:space="preserve">, </w:t>
      </w:r>
      <w:hyperlink r:id="rId23" w:anchor="_ENREF_20" w:tooltip="Jurgenliemk, 2007 #16" w:history="1">
        <w:r w:rsidRPr="00FF4196">
          <w:rPr>
            <w:rStyle w:val="Hipercze"/>
            <w:lang w:val="en-US"/>
          </w:rPr>
          <w:t>Jurgenliemk, Petereit et al. 2007</w:t>
        </w:r>
      </w:hyperlink>
      <w:r w:rsidRPr="00FF4196">
        <w:rPr>
          <w:lang w:val="en-US"/>
        </w:rPr>
        <w:t xml:space="preserve">, </w:t>
      </w:r>
      <w:hyperlink r:id="rId24" w:anchor="_ENREF_48" w:tooltip="Poblocka-Olech, 2008 #15" w:history="1">
        <w:r w:rsidRPr="00FF4196">
          <w:rPr>
            <w:rStyle w:val="Hipercze"/>
            <w:lang w:val="en-US"/>
          </w:rPr>
          <w:t>Poblocka-Olech and Krauze-Baranowska 2008</w:t>
        </w:r>
      </w:hyperlink>
      <w:r w:rsidRPr="00FF4196">
        <w:rPr>
          <w:lang w:val="en-US"/>
        </w:rPr>
        <w:t xml:space="preserve">, </w:t>
      </w:r>
      <w:hyperlink r:id="rId25" w:anchor="_ENREF_12" w:tooltip="Freischmidt, 2012 #14" w:history="1">
        <w:r w:rsidRPr="00FF4196">
          <w:rPr>
            <w:rStyle w:val="Hipercze"/>
            <w:lang w:val="en-US"/>
          </w:rPr>
          <w:t>Freischmidt, Jurgenliemk et al. 2012</w:t>
        </w:r>
      </w:hyperlink>
      <w:r w:rsidRPr="00FF4196">
        <w:rPr>
          <w:lang w:val="en-US"/>
        </w:rPr>
        <w:t xml:space="preserve">, </w:t>
      </w:r>
      <w:hyperlink r:id="rId26" w:anchor="_ENREF_10" w:tooltip="Durak, 2014 #13" w:history="1">
        <w:r w:rsidRPr="00FF4196">
          <w:rPr>
            <w:rStyle w:val="Hipercze"/>
            <w:lang w:val="en-US"/>
          </w:rPr>
          <w:t>Durak and Gawlik-Dziki 2014</w:t>
        </w:r>
      </w:hyperlink>
      <w:r w:rsidRPr="00FF4196">
        <w:rPr>
          <w:lang w:val="en-US"/>
        </w:rPr>
        <w:t>)</w:t>
      </w:r>
    </w:p>
    <w:p w14:paraId="361BCD2E" w14:textId="77777777" w:rsidR="00E56A40" w:rsidRPr="00FF4196" w:rsidRDefault="00E56A40" w:rsidP="00E56A40">
      <w:pPr>
        <w:pStyle w:val="NormalnyWeb"/>
        <w:rPr>
          <w:lang w:val="en-US"/>
        </w:rPr>
      </w:pPr>
      <w:r w:rsidRPr="00FF4196">
        <w:rPr>
          <w:lang w:val="en-US"/>
        </w:rPr>
        <w:t>Salix viminalis (Wierzba wiciowa)</w:t>
      </w:r>
    </w:p>
    <w:p w14:paraId="639B36E0" w14:textId="77777777" w:rsidR="00E56A40" w:rsidRPr="00FF4196" w:rsidRDefault="00E56A40" w:rsidP="00E56A40">
      <w:pPr>
        <w:pStyle w:val="NormalnyWeb"/>
        <w:rPr>
          <w:lang w:val="en-US"/>
        </w:rPr>
      </w:pPr>
      <w:r w:rsidRPr="00FF4196">
        <w:rPr>
          <w:lang w:val="en-US"/>
        </w:rPr>
        <w:t>(</w:t>
      </w:r>
      <w:hyperlink r:id="rId27" w:anchor="_ENREF_16" w:tooltip="Hammer, 2002 #20" w:history="1">
        <w:r w:rsidRPr="00FF4196">
          <w:rPr>
            <w:rStyle w:val="Hipercze"/>
            <w:lang w:val="en-US"/>
          </w:rPr>
          <w:t>Hammer and Keller 2002</w:t>
        </w:r>
      </w:hyperlink>
      <w:r w:rsidRPr="00FF4196">
        <w:rPr>
          <w:lang w:val="en-US"/>
        </w:rPr>
        <w:t xml:space="preserve">, </w:t>
      </w:r>
      <w:hyperlink r:id="rId28" w:anchor="_ENREF_18" w:tooltip="Ilnicka, 2014 #19" w:history="1">
        <w:r w:rsidRPr="00FF4196">
          <w:rPr>
            <w:rStyle w:val="Hipercze"/>
            <w:lang w:val="en-US"/>
          </w:rPr>
          <w:t>Ilnicka, Roszek et al. 2014</w:t>
        </w:r>
      </w:hyperlink>
      <w:r w:rsidRPr="00FF4196">
        <w:rPr>
          <w:lang w:val="en-US"/>
        </w:rPr>
        <w:t xml:space="preserve">, </w:t>
      </w:r>
      <w:hyperlink r:id="rId29" w:anchor="_ENREF_1" w:tooltip="Aksinenko, 2015 #18" w:history="1">
        <w:r w:rsidRPr="00FF4196">
          <w:rPr>
            <w:rStyle w:val="Hipercze"/>
            <w:lang w:val="en-US"/>
          </w:rPr>
          <w:t>Aksinenko, Suslov et al. 2015</w:t>
        </w:r>
      </w:hyperlink>
      <w:r w:rsidRPr="00FF4196">
        <w:rPr>
          <w:lang w:val="en-US"/>
        </w:rPr>
        <w:t>)</w:t>
      </w:r>
    </w:p>
    <w:p w14:paraId="54950F0F" w14:textId="77777777" w:rsidR="00E56A40" w:rsidRPr="00FF4196" w:rsidRDefault="00E56A40" w:rsidP="00E56A40">
      <w:pPr>
        <w:pStyle w:val="NormalnyWeb"/>
        <w:rPr>
          <w:lang w:val="en-US"/>
        </w:rPr>
      </w:pPr>
      <w:r w:rsidRPr="00FF4196">
        <w:rPr>
          <w:lang w:val="en-US"/>
        </w:rPr>
        <w:t>Populus nigra (Topola czarna)</w:t>
      </w:r>
    </w:p>
    <w:p w14:paraId="756F8A90" w14:textId="77777777" w:rsidR="00E56A40" w:rsidRPr="00FF4196" w:rsidRDefault="00E56A40" w:rsidP="00E56A40">
      <w:pPr>
        <w:pStyle w:val="NormalnyWeb"/>
        <w:rPr>
          <w:lang w:val="en-US"/>
        </w:rPr>
      </w:pPr>
      <w:r w:rsidRPr="00FF4196">
        <w:rPr>
          <w:lang w:val="en-US"/>
        </w:rPr>
        <w:t>(</w:t>
      </w:r>
      <w:hyperlink r:id="rId30" w:anchor="_ENREF_26" w:tooltip="Komoda, 1989 #35" w:history="1">
        <w:r w:rsidRPr="00FF4196">
          <w:rPr>
            <w:rStyle w:val="Hipercze"/>
            <w:lang w:val="en-US"/>
          </w:rPr>
          <w:t>Komoda 1989</w:t>
        </w:r>
      </w:hyperlink>
      <w:r w:rsidRPr="00FF4196">
        <w:rPr>
          <w:lang w:val="en-US"/>
        </w:rPr>
        <w:t xml:space="preserve">, </w:t>
      </w:r>
      <w:hyperlink r:id="rId31" w:anchor="_ENREF_13" w:tooltip="Glinkowska, 1997 #34" w:history="1">
        <w:r w:rsidRPr="00FF4196">
          <w:rPr>
            <w:rStyle w:val="Hipercze"/>
            <w:lang w:val="en-US"/>
          </w:rPr>
          <w:t>Glinkowska, Balan et al. 1997</w:t>
        </w:r>
      </w:hyperlink>
      <w:r w:rsidRPr="00FF4196">
        <w:rPr>
          <w:lang w:val="en-US"/>
        </w:rPr>
        <w:t xml:space="preserve">, </w:t>
      </w:r>
      <w:hyperlink r:id="rId32" w:anchor="_ENREF_17" w:tooltip="Havlik, 2010 #32" w:history="1">
        <w:r w:rsidRPr="00FF4196">
          <w:rPr>
            <w:rStyle w:val="Hipercze"/>
            <w:lang w:val="en-US"/>
          </w:rPr>
          <w:t>Havlik, Gonzalez de la Huebra et al. 2010</w:t>
        </w:r>
      </w:hyperlink>
      <w:r w:rsidRPr="00FF4196">
        <w:rPr>
          <w:lang w:val="en-US"/>
        </w:rPr>
        <w:t xml:space="preserve">, </w:t>
      </w:r>
      <w:hyperlink r:id="rId33" w:anchor="_ENREF_61" w:tooltip="Wu, 2010 #33" w:history="1">
        <w:r w:rsidRPr="00FF4196">
          <w:rPr>
            <w:rStyle w:val="Hipercze"/>
            <w:lang w:val="en-US"/>
          </w:rPr>
          <w:t>Wu, Yang et al. 2010</w:t>
        </w:r>
      </w:hyperlink>
      <w:r w:rsidRPr="00FF4196">
        <w:rPr>
          <w:lang w:val="en-US"/>
        </w:rPr>
        <w:t xml:space="preserve">, </w:t>
      </w:r>
      <w:hyperlink r:id="rId34" w:anchor="_ENREF_9" w:tooltip="Dudonne, 2011 #30" w:history="1">
        <w:r w:rsidRPr="00FF4196">
          <w:rPr>
            <w:rStyle w:val="Hipercze"/>
            <w:lang w:val="en-US"/>
          </w:rPr>
          <w:t>Dudonne, Poupard et al. 2011</w:t>
        </w:r>
      </w:hyperlink>
      <w:r w:rsidRPr="00FF4196">
        <w:rPr>
          <w:lang w:val="en-US"/>
        </w:rPr>
        <w:t xml:space="preserve">, </w:t>
      </w:r>
      <w:hyperlink r:id="rId35" w:anchor="_ENREF_40" w:tooltip="Meng, 2012 #29" w:history="1">
        <w:r w:rsidRPr="00FF4196">
          <w:rPr>
            <w:rStyle w:val="Hipercze"/>
            <w:lang w:val="en-US"/>
          </w:rPr>
          <w:t>Meng, Mao et al. 2012</w:t>
        </w:r>
      </w:hyperlink>
      <w:r w:rsidRPr="00FF4196">
        <w:rPr>
          <w:lang w:val="en-US"/>
        </w:rPr>
        <w:t xml:space="preserve">, </w:t>
      </w:r>
      <w:hyperlink r:id="rId36" w:anchor="_ENREF_64" w:tooltip="Zhong, 2012 #31" w:history="1">
        <w:r w:rsidRPr="00FF4196">
          <w:rPr>
            <w:rStyle w:val="Hipercze"/>
            <w:lang w:val="en-US"/>
          </w:rPr>
          <w:t>Zhong, Zhou et al. 2012</w:t>
        </w:r>
      </w:hyperlink>
      <w:r w:rsidRPr="00FF4196">
        <w:rPr>
          <w:lang w:val="en-US"/>
        </w:rPr>
        <w:t xml:space="preserve">, </w:t>
      </w:r>
      <w:hyperlink r:id="rId37" w:anchor="_ENREF_7" w:tooltip="Debbache-Benaida, 2013 #28" w:history="1">
        <w:r w:rsidRPr="00FF4196">
          <w:rPr>
            <w:rStyle w:val="Hipercze"/>
            <w:lang w:val="en-US"/>
          </w:rPr>
          <w:t>Debbache-Benaida, Atmani-Kilani et al. 2013</w:t>
        </w:r>
      </w:hyperlink>
      <w:r w:rsidRPr="00FF4196">
        <w:rPr>
          <w:lang w:val="en-US"/>
        </w:rPr>
        <w:t xml:space="preserve">, </w:t>
      </w:r>
      <w:hyperlink r:id="rId38" w:anchor="_ENREF_29" w:tooltip="Li, 2014 #26" w:history="1">
        <w:r w:rsidRPr="00FF4196">
          <w:rPr>
            <w:rStyle w:val="Hipercze"/>
            <w:lang w:val="en-US"/>
          </w:rPr>
          <w:t>Li, Peng et al. 2014</w:t>
        </w:r>
      </w:hyperlink>
      <w:r w:rsidRPr="00FF4196">
        <w:rPr>
          <w:lang w:val="en-US"/>
        </w:rPr>
        <w:t xml:space="preserve">, </w:t>
      </w:r>
      <w:hyperlink r:id="rId39" w:anchor="_ENREF_38" w:tooltip="Mao, 2014 #27" w:history="1">
        <w:r w:rsidRPr="00FF4196">
          <w:rPr>
            <w:rStyle w:val="Hipercze"/>
            <w:lang w:val="en-US"/>
          </w:rPr>
          <w:t>Mao, Luo et al. 2014</w:t>
        </w:r>
      </w:hyperlink>
      <w:r w:rsidRPr="00FF4196">
        <w:rPr>
          <w:lang w:val="en-US"/>
        </w:rPr>
        <w:t xml:space="preserve">, </w:t>
      </w:r>
      <w:hyperlink r:id="rId40" w:anchor="_ENREF_37" w:tooltip="Mao, 2017 #25" w:history="1">
        <w:r w:rsidRPr="00FF4196">
          <w:rPr>
            <w:rStyle w:val="Hipercze"/>
            <w:lang w:val="en-US"/>
          </w:rPr>
          <w:t>Mao, Lai et al. 2017</w:t>
        </w:r>
      </w:hyperlink>
      <w:r w:rsidRPr="00FF4196">
        <w:rPr>
          <w:lang w:val="en-US"/>
        </w:rPr>
        <w:t xml:space="preserve">, </w:t>
      </w:r>
      <w:hyperlink r:id="rId41" w:anchor="_ENREF_44" w:tooltip="Pasca, 2017 #22" w:history="1">
        <w:r w:rsidRPr="00FF4196">
          <w:rPr>
            <w:rStyle w:val="Hipercze"/>
            <w:lang w:val="en-US"/>
          </w:rPr>
          <w:t>Pasca, Marghitas et al. 2017</w:t>
        </w:r>
      </w:hyperlink>
      <w:r w:rsidRPr="00FF4196">
        <w:rPr>
          <w:lang w:val="en-US"/>
        </w:rPr>
        <w:t xml:space="preserve">, </w:t>
      </w:r>
      <w:hyperlink r:id="rId42" w:anchor="_ENREF_47" w:tooltip="Pietrzak, 2017 #24" w:history="1">
        <w:r w:rsidRPr="00FF4196">
          <w:rPr>
            <w:rStyle w:val="Hipercze"/>
            <w:lang w:val="en-US"/>
          </w:rPr>
          <w:t>Pietrzak, Nowak et al. 2017</w:t>
        </w:r>
      </w:hyperlink>
      <w:r w:rsidRPr="00FF4196">
        <w:rPr>
          <w:lang w:val="en-US"/>
        </w:rPr>
        <w:t xml:space="preserve">, </w:t>
      </w:r>
      <w:hyperlink r:id="rId43" w:anchor="_ENREF_49" w:tooltip="Popova, 2017 #23" w:history="1">
        <w:r w:rsidRPr="00FF4196">
          <w:rPr>
            <w:rStyle w:val="Hipercze"/>
            <w:lang w:val="en-US"/>
          </w:rPr>
          <w:t>Popova, Giannopoulou et al. 2017</w:t>
        </w:r>
      </w:hyperlink>
      <w:r w:rsidRPr="00FF4196">
        <w:rPr>
          <w:lang w:val="en-US"/>
        </w:rPr>
        <w:t xml:space="preserve">, </w:t>
      </w:r>
      <w:hyperlink r:id="rId44" w:anchor="_ENREF_27" w:tooltip="Kus, 2018 #21" w:history="1">
        <w:r w:rsidRPr="00FF4196">
          <w:rPr>
            <w:rStyle w:val="Hipercze"/>
            <w:lang w:val="en-US"/>
          </w:rPr>
          <w:t>Kus, Jerkovic et al. 2018</w:t>
        </w:r>
      </w:hyperlink>
      <w:r w:rsidRPr="00FF4196">
        <w:rPr>
          <w:lang w:val="en-US"/>
        </w:rPr>
        <w:t>)</w:t>
      </w:r>
    </w:p>
    <w:p w14:paraId="5323A787" w14:textId="77777777" w:rsidR="00E56A40" w:rsidRPr="00FF4196" w:rsidRDefault="00E56A40" w:rsidP="00E56A40">
      <w:pPr>
        <w:pStyle w:val="NormalnyWeb"/>
        <w:rPr>
          <w:lang w:val="en-US"/>
        </w:rPr>
      </w:pPr>
      <w:r w:rsidRPr="00FF4196">
        <w:rPr>
          <w:lang w:val="en-US"/>
        </w:rPr>
        <w:t>Silphium perfoliatum (Rożnik przerośnięty)</w:t>
      </w:r>
    </w:p>
    <w:p w14:paraId="19DED191" w14:textId="77777777" w:rsidR="00E56A40" w:rsidRPr="00FF4196" w:rsidRDefault="00E56A40" w:rsidP="00E56A40">
      <w:pPr>
        <w:pStyle w:val="NormalnyWeb"/>
        <w:rPr>
          <w:lang w:val="en-US"/>
        </w:rPr>
      </w:pPr>
      <w:r w:rsidRPr="00FF4196">
        <w:rPr>
          <w:lang w:val="en-US"/>
        </w:rPr>
        <w:t>(</w:t>
      </w:r>
      <w:hyperlink r:id="rId45" w:anchor="_ENREF_14" w:tooltip="Habtemariam, 2000 #41" w:history="1">
        <w:r w:rsidRPr="00FF4196">
          <w:rPr>
            <w:rStyle w:val="Hipercze"/>
            <w:lang w:val="en-US"/>
          </w:rPr>
          <w:t>Habtemariam and Macpherson 2000</w:t>
        </w:r>
      </w:hyperlink>
      <w:r w:rsidRPr="00FF4196">
        <w:rPr>
          <w:lang w:val="en-US"/>
        </w:rPr>
        <w:t xml:space="preserve">, </w:t>
      </w:r>
      <w:hyperlink r:id="rId46" w:anchor="_ENREF_35" w:tooltip="Maas, 2008 #40" w:history="1">
        <w:r w:rsidRPr="00FF4196">
          <w:rPr>
            <w:rStyle w:val="Hipercze"/>
            <w:lang w:val="en-US"/>
          </w:rPr>
          <w:t>Maas, Petereit et al. 2008</w:t>
        </w:r>
      </w:hyperlink>
      <w:r w:rsidRPr="00FF4196">
        <w:rPr>
          <w:lang w:val="en-US"/>
        </w:rPr>
        <w:t xml:space="preserve">, </w:t>
      </w:r>
      <w:hyperlink r:id="rId47" w:anchor="_ENREF_34" w:tooltip="Maas, 2011 #39" w:history="1">
        <w:r w:rsidRPr="00FF4196">
          <w:rPr>
            <w:rStyle w:val="Hipercze"/>
            <w:lang w:val="en-US"/>
          </w:rPr>
          <w:t>Maas, Hensel et al. 2011</w:t>
        </w:r>
      </w:hyperlink>
      <w:r w:rsidRPr="00FF4196">
        <w:rPr>
          <w:lang w:val="en-US"/>
        </w:rPr>
        <w:t xml:space="preserve">, </w:t>
      </w:r>
      <w:hyperlink r:id="rId48" w:anchor="_ENREF_11" w:tooltip="Feng, 2014 #38" w:history="1">
        <w:r w:rsidRPr="00FF4196">
          <w:rPr>
            <w:rStyle w:val="Hipercze"/>
            <w:lang w:val="en-US"/>
          </w:rPr>
          <w:t>Feng, Pei et al. 2014</w:t>
        </w:r>
      </w:hyperlink>
      <w:r w:rsidRPr="00FF4196">
        <w:rPr>
          <w:lang w:val="en-US"/>
        </w:rPr>
        <w:t xml:space="preserve">, </w:t>
      </w:r>
      <w:hyperlink r:id="rId49" w:anchor="_ENREF_8" w:tooltip="Derksen, 2016 #37" w:history="1">
        <w:r w:rsidRPr="00FF4196">
          <w:rPr>
            <w:rStyle w:val="Hipercze"/>
            <w:lang w:val="en-US"/>
          </w:rPr>
          <w:t>Derksen, Kuhn et al. 2016</w:t>
        </w:r>
      </w:hyperlink>
      <w:r w:rsidRPr="00FF4196">
        <w:rPr>
          <w:lang w:val="en-US"/>
        </w:rPr>
        <w:t xml:space="preserve">, </w:t>
      </w:r>
      <w:hyperlink r:id="rId50" w:anchor="_ENREF_54" w:tooltip="Shang, 2017 #36" w:history="1">
        <w:r w:rsidRPr="00FF4196">
          <w:rPr>
            <w:rStyle w:val="Hipercze"/>
            <w:lang w:val="en-US"/>
          </w:rPr>
          <w:t>Shang, Zhou et al. 2017</w:t>
        </w:r>
      </w:hyperlink>
      <w:r w:rsidRPr="00FF4196">
        <w:rPr>
          <w:lang w:val="en-US"/>
        </w:rPr>
        <w:t>)</w:t>
      </w:r>
    </w:p>
    <w:p w14:paraId="141A7441" w14:textId="77777777" w:rsidR="00E56A40" w:rsidRPr="00FF4196" w:rsidRDefault="00E56A40" w:rsidP="00E56A40">
      <w:pPr>
        <w:pStyle w:val="NormalnyWeb"/>
        <w:rPr>
          <w:lang w:val="en-US"/>
        </w:rPr>
      </w:pPr>
      <w:r w:rsidRPr="00FF4196">
        <w:rPr>
          <w:lang w:val="en-US"/>
        </w:rPr>
        <w:t>Helianthus tuberosus (Słonecznik bulwiasty)</w:t>
      </w:r>
    </w:p>
    <w:p w14:paraId="55EAAD84" w14:textId="77777777" w:rsidR="00E56A40" w:rsidRPr="00FF4196" w:rsidRDefault="00E56A40" w:rsidP="00E56A40">
      <w:pPr>
        <w:pStyle w:val="NormalnyWeb"/>
        <w:rPr>
          <w:lang w:val="en-US"/>
        </w:rPr>
      </w:pPr>
      <w:r w:rsidRPr="00FF4196">
        <w:rPr>
          <w:lang w:val="en-US"/>
        </w:rPr>
        <w:t>(</w:t>
      </w:r>
      <w:hyperlink r:id="rId51" w:anchor="_ENREF_4" w:tooltip="Bajpai, 1982 #58" w:history="1">
        <w:r w:rsidRPr="00FF4196">
          <w:rPr>
            <w:rStyle w:val="Hipercze"/>
            <w:lang w:val="en-US"/>
          </w:rPr>
          <w:t>Bajpai and Margaritis 1982</w:t>
        </w:r>
      </w:hyperlink>
      <w:r w:rsidRPr="00FF4196">
        <w:rPr>
          <w:lang w:val="en-US"/>
        </w:rPr>
        <w:t xml:space="preserve">, </w:t>
      </w:r>
      <w:hyperlink r:id="rId52" w:anchor="_ENREF_39" w:tooltip="Margaritis, 1982 #59" w:history="1">
        <w:r w:rsidRPr="00FF4196">
          <w:rPr>
            <w:rStyle w:val="Hipercze"/>
            <w:lang w:val="en-US"/>
          </w:rPr>
          <w:t>Margaritis and Bajpai 1982</w:t>
        </w:r>
      </w:hyperlink>
      <w:r w:rsidRPr="00FF4196">
        <w:rPr>
          <w:lang w:val="en-US"/>
        </w:rPr>
        <w:t xml:space="preserve">, </w:t>
      </w:r>
      <w:hyperlink r:id="rId53" w:anchor="_ENREF_53" w:tooltip="Serafini-Fracassini, 1988 #57" w:history="1">
        <w:r w:rsidRPr="00FF4196">
          <w:rPr>
            <w:rStyle w:val="Hipercze"/>
            <w:lang w:val="en-US"/>
          </w:rPr>
          <w:t>Serafini-Fracassini, Del Duca et al. 1988</w:t>
        </w:r>
      </w:hyperlink>
      <w:r w:rsidRPr="00FF4196">
        <w:rPr>
          <w:lang w:val="en-US"/>
        </w:rPr>
        <w:t xml:space="preserve">, </w:t>
      </w:r>
      <w:hyperlink r:id="rId54" w:anchor="_ENREF_28" w:tooltip="Larondelle, 1989 #56" w:history="1">
        <w:r w:rsidRPr="00FF4196">
          <w:rPr>
            <w:rStyle w:val="Hipercze"/>
            <w:lang w:val="en-US"/>
          </w:rPr>
          <w:t>Larondelle, Mertens et al. 1989</w:t>
        </w:r>
      </w:hyperlink>
      <w:r w:rsidRPr="00FF4196">
        <w:rPr>
          <w:lang w:val="en-US"/>
        </w:rPr>
        <w:t xml:space="preserve">, </w:t>
      </w:r>
      <w:hyperlink r:id="rId55" w:anchor="_ENREF_55" w:tooltip="Spagnoletta, 2002 #55" w:history="1">
        <w:r w:rsidRPr="00FF4196">
          <w:rPr>
            <w:rStyle w:val="Hipercze"/>
            <w:lang w:val="en-US"/>
          </w:rPr>
          <w:t>Spagnoletta, De Santis et al. 2002</w:t>
        </w:r>
      </w:hyperlink>
      <w:r w:rsidRPr="00FF4196">
        <w:rPr>
          <w:lang w:val="en-US"/>
        </w:rPr>
        <w:t xml:space="preserve">, </w:t>
      </w:r>
      <w:hyperlink r:id="rId56" w:anchor="_ENREF_2" w:tooltip="Arakawa, 2004 #54" w:history="1">
        <w:r w:rsidRPr="00FF4196">
          <w:rPr>
            <w:rStyle w:val="Hipercze"/>
            <w:lang w:val="en-US"/>
          </w:rPr>
          <w:t>Arakawa, Hanazaki et al. 2004</w:t>
        </w:r>
      </w:hyperlink>
      <w:r w:rsidRPr="00FF4196">
        <w:rPr>
          <w:lang w:val="en-US"/>
        </w:rPr>
        <w:t xml:space="preserve">, </w:t>
      </w:r>
      <w:hyperlink r:id="rId57" w:anchor="_ENREF_5" w:tooltip="Boga, 2011 #53" w:history="1">
        <w:r w:rsidRPr="00FF4196">
          <w:rPr>
            <w:rStyle w:val="Hipercze"/>
            <w:lang w:val="en-US"/>
          </w:rPr>
          <w:t>Boga, Hacibekiroglu et al. 2011</w:t>
        </w:r>
      </w:hyperlink>
      <w:r w:rsidRPr="00FF4196">
        <w:rPr>
          <w:lang w:val="en-US"/>
        </w:rPr>
        <w:t xml:space="preserve">, </w:t>
      </w:r>
      <w:hyperlink r:id="rId58" w:anchor="_ENREF_42" w:tooltip="Mornkham, 2013 #52" w:history="1">
        <w:r w:rsidRPr="00FF4196">
          <w:rPr>
            <w:rStyle w:val="Hipercze"/>
            <w:lang w:val="en-US"/>
          </w:rPr>
          <w:t>Mornkham, Wangsomnuk et al. 2013</w:t>
        </w:r>
      </w:hyperlink>
      <w:r w:rsidRPr="00FF4196">
        <w:rPr>
          <w:lang w:val="en-US"/>
        </w:rPr>
        <w:t xml:space="preserve">, </w:t>
      </w:r>
      <w:hyperlink r:id="rId59" w:anchor="_ENREF_63" w:tooltip="Yang, 2014 #51" w:history="1">
        <w:r w:rsidRPr="00FF4196">
          <w:rPr>
            <w:rStyle w:val="Hipercze"/>
            <w:lang w:val="en-US"/>
          </w:rPr>
          <w:t>Yang, Liu et al. 2014</w:t>
        </w:r>
      </w:hyperlink>
      <w:r w:rsidRPr="00FF4196">
        <w:rPr>
          <w:lang w:val="en-US"/>
        </w:rPr>
        <w:t xml:space="preserve">, </w:t>
      </w:r>
      <w:hyperlink r:id="rId60" w:anchor="_ENREF_3" w:tooltip="Aravinthan, 2015 #48" w:history="1">
        <w:r w:rsidRPr="00FF4196">
          <w:rPr>
            <w:rStyle w:val="Hipercze"/>
            <w:lang w:val="en-US"/>
          </w:rPr>
          <w:t>Aravinthan, Govarthanan et al. 2015</w:t>
        </w:r>
      </w:hyperlink>
      <w:r w:rsidRPr="00FF4196">
        <w:rPr>
          <w:lang w:val="en-US"/>
        </w:rPr>
        <w:t xml:space="preserve">, </w:t>
      </w:r>
      <w:hyperlink r:id="rId61" w:anchor="_ENREF_36" w:tooltip="Malakhova, 2015 #46" w:history="1">
        <w:r w:rsidRPr="00FF4196">
          <w:rPr>
            <w:rStyle w:val="Hipercze"/>
            <w:lang w:val="en-US"/>
          </w:rPr>
          <w:t>Malakhova, Egorova et al. 2015</w:t>
        </w:r>
      </w:hyperlink>
      <w:r w:rsidRPr="00FF4196">
        <w:rPr>
          <w:lang w:val="en-US"/>
        </w:rPr>
        <w:t xml:space="preserve">, </w:t>
      </w:r>
      <w:hyperlink r:id="rId62" w:anchor="_ENREF_50" w:tooltip="Pradhan, 2015 #49" w:history="1">
        <w:r w:rsidRPr="00FF4196">
          <w:rPr>
            <w:rStyle w:val="Hipercze"/>
            <w:lang w:val="en-US"/>
          </w:rPr>
          <w:t>Pradhan, Das et al. 2015</w:t>
        </w:r>
      </w:hyperlink>
      <w:r w:rsidRPr="00FF4196">
        <w:rPr>
          <w:lang w:val="en-US"/>
        </w:rPr>
        <w:t xml:space="preserve">, </w:t>
      </w:r>
      <w:hyperlink r:id="rId63" w:anchor="_ENREF_56" w:tooltip="Srinameb, 2015 #47" w:history="1">
        <w:r w:rsidRPr="00FF4196">
          <w:rPr>
            <w:rStyle w:val="Hipercze"/>
            <w:lang w:val="en-US"/>
          </w:rPr>
          <w:t>Srinameb, Nuchadomrong et al. 2015</w:t>
        </w:r>
      </w:hyperlink>
      <w:r w:rsidRPr="00FF4196">
        <w:rPr>
          <w:lang w:val="en-US"/>
        </w:rPr>
        <w:t xml:space="preserve">, </w:t>
      </w:r>
      <w:hyperlink r:id="rId64" w:anchor="_ENREF_57" w:tooltip="Sun, 2015 #50" w:history="1">
        <w:r w:rsidRPr="00FF4196">
          <w:rPr>
            <w:rStyle w:val="Hipercze"/>
            <w:lang w:val="en-US"/>
          </w:rPr>
          <w:t>Sun, Liu et al. 2015</w:t>
        </w:r>
      </w:hyperlink>
      <w:r w:rsidRPr="00FF4196">
        <w:rPr>
          <w:lang w:val="en-US"/>
        </w:rPr>
        <w:t xml:space="preserve">, </w:t>
      </w:r>
      <w:hyperlink r:id="rId65" w:anchor="_ENREF_30" w:tooltip="Li, 2016 #44" w:history="1">
        <w:r w:rsidRPr="00FF4196">
          <w:rPr>
            <w:rStyle w:val="Hipercze"/>
            <w:lang w:val="en-US"/>
          </w:rPr>
          <w:t>Li, Wang et al. 2016</w:t>
        </w:r>
      </w:hyperlink>
      <w:r w:rsidRPr="00FF4196">
        <w:rPr>
          <w:lang w:val="en-US"/>
        </w:rPr>
        <w:t xml:space="preserve">, </w:t>
      </w:r>
      <w:hyperlink r:id="rId66" w:anchor="_ENREF_33" w:tooltip="Ma, 2017 #45" w:history="1">
        <w:r w:rsidRPr="00FF4196">
          <w:rPr>
            <w:rStyle w:val="Hipercze"/>
            <w:lang w:val="en-US"/>
          </w:rPr>
          <w:t>Ma, Zhou et al. 2017</w:t>
        </w:r>
      </w:hyperlink>
      <w:r w:rsidRPr="00FF4196">
        <w:rPr>
          <w:lang w:val="en-US"/>
        </w:rPr>
        <w:t xml:space="preserve">, </w:t>
      </w:r>
      <w:hyperlink r:id="rId67" w:anchor="_ENREF_59" w:tooltip="Wang, 2017 #43" w:history="1">
        <w:r w:rsidRPr="00FF4196">
          <w:rPr>
            <w:rStyle w:val="Hipercze"/>
            <w:lang w:val="en-US"/>
          </w:rPr>
          <w:t>Wang, Zhao et al. 2017</w:t>
        </w:r>
      </w:hyperlink>
      <w:r w:rsidRPr="00FF4196">
        <w:rPr>
          <w:lang w:val="en-US"/>
        </w:rPr>
        <w:t xml:space="preserve">, </w:t>
      </w:r>
      <w:hyperlink r:id="rId68" w:anchor="_ENREF_52" w:tooltip="Rubel, 2018 #42" w:history="1">
        <w:r w:rsidRPr="00FF4196">
          <w:rPr>
            <w:rStyle w:val="Hipercze"/>
            <w:lang w:val="en-US"/>
          </w:rPr>
          <w:t>Rubel, Iraporda et al. 2018</w:t>
        </w:r>
      </w:hyperlink>
      <w:r w:rsidRPr="00FF4196">
        <w:rPr>
          <w:lang w:val="en-US"/>
        </w:rPr>
        <w:t>)</w:t>
      </w:r>
    </w:p>
    <w:p w14:paraId="270F7ADE" w14:textId="77777777" w:rsidR="00E56A40" w:rsidRPr="00FF4196" w:rsidRDefault="00E56A40" w:rsidP="00E56A40">
      <w:pPr>
        <w:pStyle w:val="NormalnyWeb"/>
        <w:rPr>
          <w:lang w:val="en-US"/>
        </w:rPr>
      </w:pPr>
      <w:r w:rsidRPr="00FF4196">
        <w:rPr>
          <w:lang w:val="en-US"/>
        </w:rPr>
        <w:t>Miscanthus giganteus/Miscanthus sinensis (Miskant olbrzymi/Miskant chiński)</w:t>
      </w:r>
    </w:p>
    <w:p w14:paraId="17E96F4B" w14:textId="77777777" w:rsidR="00E56A40" w:rsidRPr="00FF4196" w:rsidRDefault="00E56A40" w:rsidP="00E56A40">
      <w:pPr>
        <w:pStyle w:val="NormalnyWeb"/>
        <w:rPr>
          <w:lang w:val="en-US"/>
        </w:rPr>
      </w:pPr>
      <w:r w:rsidRPr="00FF4196">
        <w:rPr>
          <w:lang w:val="en-US"/>
        </w:rPr>
        <w:lastRenderedPageBreak/>
        <w:t>(</w:t>
      </w:r>
      <w:hyperlink r:id="rId69" w:anchor="_ENREF_62" w:tooltip="Xu, 1993 #64" w:history="1">
        <w:r w:rsidRPr="00FF4196">
          <w:rPr>
            <w:rStyle w:val="Hipercze"/>
            <w:lang w:val="en-US"/>
          </w:rPr>
          <w:t>Xu, Kadota et al. 1993</w:t>
        </w:r>
      </w:hyperlink>
      <w:r w:rsidRPr="00FF4196">
        <w:rPr>
          <w:lang w:val="en-US"/>
        </w:rPr>
        <w:t xml:space="preserve">, </w:t>
      </w:r>
      <w:hyperlink r:id="rId70" w:anchor="_ENREF_60" w:tooltip="Watanabe, 1998 #63" w:history="1">
        <w:r w:rsidRPr="00FF4196">
          <w:rPr>
            <w:rStyle w:val="Hipercze"/>
            <w:lang w:val="en-US"/>
          </w:rPr>
          <w:t>Watanabe, Hase et al. 1998</w:t>
        </w:r>
      </w:hyperlink>
      <w:r w:rsidRPr="00FF4196">
        <w:rPr>
          <w:lang w:val="en-US"/>
        </w:rPr>
        <w:t xml:space="preserve">, </w:t>
      </w:r>
      <w:hyperlink r:id="rId71" w:anchor="_ENREF_43" w:tooltip="Parveen, 2011 #60" w:history="1">
        <w:r w:rsidRPr="00FF4196">
          <w:rPr>
            <w:rStyle w:val="Hipercze"/>
            <w:lang w:val="en-US"/>
          </w:rPr>
          <w:t>Parveen, Threadgill et al. 2011</w:t>
        </w:r>
      </w:hyperlink>
      <w:r w:rsidRPr="00FF4196">
        <w:rPr>
          <w:lang w:val="en-US"/>
        </w:rPr>
        <w:t xml:space="preserve">, </w:t>
      </w:r>
      <w:hyperlink r:id="rId72" w:anchor="_ENREF_19" w:tooltip="Jeong, 2017 #62" w:history="1">
        <w:r w:rsidRPr="00FF4196">
          <w:rPr>
            <w:rStyle w:val="Hipercze"/>
            <w:lang w:val="en-US"/>
          </w:rPr>
          <w:t>Jeong, Boisvert et al. 2017</w:t>
        </w:r>
      </w:hyperlink>
      <w:r w:rsidRPr="00FF4196">
        <w:rPr>
          <w:lang w:val="en-US"/>
        </w:rPr>
        <w:t xml:space="preserve">, </w:t>
      </w:r>
      <w:hyperlink r:id="rId73" w:anchor="_ENREF_31" w:tooltip="Liber, 2018 #61" w:history="1">
        <w:r w:rsidRPr="00FF4196">
          <w:rPr>
            <w:rStyle w:val="Hipercze"/>
            <w:lang w:val="en-US"/>
          </w:rPr>
          <w:t>Liber, Letondor et al. 2018</w:t>
        </w:r>
      </w:hyperlink>
      <w:r w:rsidRPr="00FF4196">
        <w:rPr>
          <w:lang w:val="en-US"/>
        </w:rPr>
        <w:t>)</w:t>
      </w:r>
    </w:p>
    <w:p w14:paraId="715F3F26" w14:textId="77777777" w:rsidR="00E56A40" w:rsidRPr="00FF4196" w:rsidRDefault="00E56A40" w:rsidP="00E56A40">
      <w:pPr>
        <w:pStyle w:val="NormalnyWeb"/>
        <w:rPr>
          <w:lang w:val="en-US"/>
        </w:rPr>
      </w:pPr>
      <w:r w:rsidRPr="00FF4196">
        <w:rPr>
          <w:lang w:val="en-US"/>
        </w:rPr>
        <w:t> </w:t>
      </w:r>
    </w:p>
    <w:p w14:paraId="6E0689C4" w14:textId="77777777" w:rsidR="00E56A40" w:rsidRPr="00FF4196" w:rsidRDefault="00E56A40" w:rsidP="00E56A40">
      <w:pPr>
        <w:pStyle w:val="endnotecategoryheading"/>
        <w:rPr>
          <w:lang w:val="en-US"/>
        </w:rPr>
      </w:pPr>
      <w:r w:rsidRPr="00FF4196">
        <w:rPr>
          <w:lang w:val="en-US"/>
        </w:rPr>
        <w:t>References</w:t>
      </w:r>
    </w:p>
    <w:p w14:paraId="0BE012E0" w14:textId="77777777" w:rsidR="00E56A40" w:rsidRPr="00FF4196" w:rsidRDefault="00E56A40" w:rsidP="00E56A40">
      <w:pPr>
        <w:pStyle w:val="endnotebibliography"/>
        <w:rPr>
          <w:lang w:val="en-US"/>
        </w:rPr>
      </w:pPr>
      <w:r w:rsidRPr="00FF4196">
        <w:rPr>
          <w:lang w:val="en-US"/>
        </w:rPr>
        <w:t xml:space="preserve">Aksinenko, S. G., et al. (2015). "Antitoxic Activity of Extract from Salix Viminalis Leaves under Conditions of 5-Fluorouracil Treatment." </w:t>
      </w:r>
      <w:r w:rsidRPr="00FF4196">
        <w:rPr>
          <w:u w:val="single"/>
          <w:lang w:val="en-US"/>
        </w:rPr>
        <w:t>Bull Exp Biol Med</w:t>
      </w:r>
      <w:r w:rsidRPr="00FF4196">
        <w:rPr>
          <w:lang w:val="en-US"/>
        </w:rPr>
        <w:t xml:space="preserve"> </w:t>
      </w:r>
      <w:r w:rsidRPr="00FF4196">
        <w:rPr>
          <w:rStyle w:val="Pogrubienie"/>
          <w:lang w:val="en-US"/>
        </w:rPr>
        <w:t>160</w:t>
      </w:r>
      <w:r w:rsidRPr="00FF4196">
        <w:rPr>
          <w:lang w:val="en-US"/>
        </w:rPr>
        <w:t>(1): 49-52.</w:t>
      </w:r>
    </w:p>
    <w:p w14:paraId="2E40D9CB" w14:textId="77777777" w:rsidR="00E56A40" w:rsidRPr="00FF4196" w:rsidRDefault="00E56A40" w:rsidP="00E56A40">
      <w:pPr>
        <w:pStyle w:val="endnotebibliography"/>
        <w:rPr>
          <w:lang w:val="en-US"/>
        </w:rPr>
      </w:pPr>
      <w:r w:rsidRPr="00FF4196">
        <w:rPr>
          <w:lang w:val="en-US"/>
        </w:rPr>
        <w:t>            Injection of 5-fluorouracil to animals caused a pronounced toxic effect. Therapeutic and preventive treatment with Salix viminalis leaf extract significantly reduced the negative effects of the antitumor drug: promoted recovery of the bone marrow, peripheral blood, and visceral parameters and prevented ulceration. Combined use of the cytostatic and Salix viminalis extract increased the efficiency of antitumor therapy.</w:t>
      </w:r>
    </w:p>
    <w:p w14:paraId="08EFFFFD" w14:textId="77777777" w:rsidR="00E56A40" w:rsidRPr="00FF4196" w:rsidRDefault="00E56A40" w:rsidP="00E56A40">
      <w:pPr>
        <w:pStyle w:val="endnotebibliography"/>
        <w:rPr>
          <w:lang w:val="en-US"/>
        </w:rPr>
      </w:pPr>
      <w:r w:rsidRPr="00FF4196">
        <w:rPr>
          <w:lang w:val="en-US"/>
        </w:rPr>
        <w:t> </w:t>
      </w:r>
    </w:p>
    <w:p w14:paraId="7A3C4C12" w14:textId="77777777" w:rsidR="00E56A40" w:rsidRPr="00FF4196" w:rsidRDefault="00E56A40" w:rsidP="00E56A40">
      <w:pPr>
        <w:pStyle w:val="endnotebibliography"/>
        <w:rPr>
          <w:lang w:val="en-US"/>
        </w:rPr>
      </w:pPr>
      <w:r w:rsidRPr="00FF4196">
        <w:rPr>
          <w:lang w:val="en-US"/>
        </w:rPr>
        <w:t xml:space="preserve">Arakawa, K., et al. (2004). "Frost-susceptible protein in plasma membranes in tubers of Helianthus tuberosus L." </w:t>
      </w:r>
      <w:r w:rsidRPr="00FF4196">
        <w:rPr>
          <w:u w:val="single"/>
          <w:lang w:val="en-US"/>
        </w:rPr>
        <w:t>Biosci Biotechnol Biochem</w:t>
      </w:r>
      <w:r w:rsidRPr="00FF4196">
        <w:rPr>
          <w:lang w:val="en-US"/>
        </w:rPr>
        <w:t xml:space="preserve"> </w:t>
      </w:r>
      <w:r w:rsidRPr="00FF4196">
        <w:rPr>
          <w:rStyle w:val="Pogrubienie"/>
          <w:lang w:val="en-US"/>
        </w:rPr>
        <w:t>68</w:t>
      </w:r>
      <w:r w:rsidRPr="00FF4196">
        <w:rPr>
          <w:lang w:val="en-US"/>
        </w:rPr>
        <w:t>(1): 175-182.</w:t>
      </w:r>
    </w:p>
    <w:p w14:paraId="763F5375" w14:textId="77777777" w:rsidR="00E56A40" w:rsidRPr="00FF4196" w:rsidRDefault="00E56A40" w:rsidP="00E56A40">
      <w:pPr>
        <w:pStyle w:val="endnotebibliography"/>
        <w:rPr>
          <w:lang w:val="en-US"/>
        </w:rPr>
      </w:pPr>
      <w:r w:rsidRPr="00FF4196">
        <w:rPr>
          <w:lang w:val="en-US"/>
        </w:rPr>
        <w:t>            When plasma membranes were prepared from tubers of Helianthus tuberosus L. (Jerusalem artichoke) frozen at a sublethal temperature (-10 degrees C), the levels of some plasma membrane proteins, named frost-susceptible proteins (FSPs), decreased [Uemura, M., et al., Plant Physiol., 80, 187-195 (1986)]. The aim of this study was to characterize the response of FSP120, which is named FSP-3 in a previous report, to freezing treatment by immunoblotting. Levels of FSP120 in the plasma membranes of tubers decreased after sublethal freezing, whereas no degraded products were detected in the microsomes or the soluble fraction. The amount of FSP120 in the crude extract of frozen tubers remained at a comparable level to that of the unfrozen tubers. These results suggest that FSP120 might be released from plasma membranes during freezing treatment of the tubers of Jerusalem artichoke.</w:t>
      </w:r>
    </w:p>
    <w:p w14:paraId="7671B8B2" w14:textId="77777777" w:rsidR="00E56A40" w:rsidRPr="00FF4196" w:rsidRDefault="00E56A40" w:rsidP="00E56A40">
      <w:pPr>
        <w:pStyle w:val="endnotebibliography"/>
        <w:rPr>
          <w:lang w:val="en-US"/>
        </w:rPr>
      </w:pPr>
      <w:r w:rsidRPr="00FF4196">
        <w:rPr>
          <w:lang w:val="en-US"/>
        </w:rPr>
        <w:t> </w:t>
      </w:r>
    </w:p>
    <w:p w14:paraId="03C774FC" w14:textId="77777777" w:rsidR="00E56A40" w:rsidRPr="00FF4196" w:rsidRDefault="00E56A40" w:rsidP="00E56A40">
      <w:pPr>
        <w:pStyle w:val="endnotebibliography"/>
        <w:rPr>
          <w:lang w:val="en-US"/>
        </w:rPr>
      </w:pPr>
      <w:r w:rsidRPr="00FF4196">
        <w:rPr>
          <w:lang w:val="en-US"/>
        </w:rPr>
        <w:t xml:space="preserve">Aravinthan, A., et al. (2015). "Sunroot mediated synthesis and characterization of silver nanoparticles and evaluation of its antibacterial and rat splenocyte cytotoxic effects." </w:t>
      </w:r>
      <w:r w:rsidRPr="00FF4196">
        <w:rPr>
          <w:u w:val="single"/>
          <w:lang w:val="en-US"/>
        </w:rPr>
        <w:t>Int J Nanomedicine</w:t>
      </w:r>
      <w:r w:rsidRPr="00FF4196">
        <w:rPr>
          <w:lang w:val="en-US"/>
        </w:rPr>
        <w:t xml:space="preserve"> </w:t>
      </w:r>
      <w:r w:rsidRPr="00FF4196">
        <w:rPr>
          <w:rStyle w:val="Pogrubienie"/>
          <w:lang w:val="en-US"/>
        </w:rPr>
        <w:t>10</w:t>
      </w:r>
      <w:r w:rsidRPr="00FF4196">
        <w:rPr>
          <w:lang w:val="en-US"/>
        </w:rPr>
        <w:t>: 1977-1983.</w:t>
      </w:r>
    </w:p>
    <w:p w14:paraId="15DFA5D1" w14:textId="77777777" w:rsidR="00E56A40" w:rsidRPr="00FF4196" w:rsidRDefault="00E56A40" w:rsidP="00E56A40">
      <w:pPr>
        <w:pStyle w:val="endnotebibliography"/>
        <w:rPr>
          <w:lang w:val="en-US"/>
        </w:rPr>
      </w:pPr>
      <w:r w:rsidRPr="00FF4196">
        <w:rPr>
          <w:lang w:val="en-US"/>
        </w:rPr>
        <w:t xml:space="preserve">            A rapid, green phytosynthesis of silver nanoparticles (AgNPs) using the aqueous extract of Helianthus tuberosus (sunroot tuber) was reported in this study. The morphology of the AgNPs was determined by transmission electron microscopy (TEM). Scanning electron microscopy-energy-dispersive spectroscopy (SEM-EDS) and X-ray powder diffraction (XRD) analysis confirmed the presence of AgNPs. Fourier transform infrared spectroscopy (FTIR) analysis revealed that biomolecules in the tuber extract were involved in the reduction and capping of AgNPs. The energy-dispersive spectroscopy (EDS) analysis of the AgNPs, using an energy range of 2-4 keV, confirmed the presence of elemental silver without any contamination. Further, the synthesized AgNPs were evaluated against phytopathogens such as Ralstonia solanacearum and Xanthomonas axonopodis. The AgNPs (1-4 mM) extensively reduced the growth rate of the phytopathogens. In addition, the cytotoxic effect of the </w:t>
      </w:r>
      <w:r w:rsidRPr="00FF4196">
        <w:rPr>
          <w:lang w:val="en-US"/>
        </w:rPr>
        <w:lastRenderedPageBreak/>
        <w:t>synthesized AgNPs was analyzed using rat splenocytes. The cell viability was decreased according to the increasing concentration of AgNPs and 67% of cell death was observed at 100 mug/mL.</w:t>
      </w:r>
    </w:p>
    <w:p w14:paraId="3FE8F43B" w14:textId="77777777" w:rsidR="00E56A40" w:rsidRPr="00FF4196" w:rsidRDefault="00E56A40" w:rsidP="00E56A40">
      <w:pPr>
        <w:pStyle w:val="endnotebibliography"/>
        <w:rPr>
          <w:lang w:val="en-US"/>
        </w:rPr>
      </w:pPr>
      <w:r w:rsidRPr="00FF4196">
        <w:rPr>
          <w:lang w:val="en-US"/>
        </w:rPr>
        <w:t> </w:t>
      </w:r>
    </w:p>
    <w:p w14:paraId="66EE42D7" w14:textId="77777777" w:rsidR="00E56A40" w:rsidRPr="00FF4196" w:rsidRDefault="00E56A40" w:rsidP="00E56A40">
      <w:pPr>
        <w:pStyle w:val="endnotebibliography"/>
        <w:rPr>
          <w:lang w:val="en-US"/>
        </w:rPr>
      </w:pPr>
      <w:r w:rsidRPr="00FF4196">
        <w:rPr>
          <w:lang w:val="en-US"/>
        </w:rPr>
        <w:t xml:space="preserve">Bajpai, P. and A. Margaritis (1982). "Ethanol Inhibition Kinetics of Kluyveromyces marxianus Grown on Jerusalem Artichoke Juice." </w:t>
      </w:r>
      <w:r w:rsidRPr="00FF4196">
        <w:rPr>
          <w:u w:val="single"/>
          <w:lang w:val="en-US"/>
        </w:rPr>
        <w:t>Appl Environ Microbiol</w:t>
      </w:r>
      <w:r w:rsidRPr="00FF4196">
        <w:rPr>
          <w:lang w:val="en-US"/>
        </w:rPr>
        <w:t xml:space="preserve"> </w:t>
      </w:r>
      <w:r w:rsidRPr="00FF4196">
        <w:rPr>
          <w:rStyle w:val="Pogrubienie"/>
          <w:lang w:val="en-US"/>
        </w:rPr>
        <w:t>44</w:t>
      </w:r>
      <w:r w:rsidRPr="00FF4196">
        <w:rPr>
          <w:lang w:val="en-US"/>
        </w:rPr>
        <w:t>(6): 1325-1329.</w:t>
      </w:r>
    </w:p>
    <w:p w14:paraId="5D870FEA" w14:textId="77777777" w:rsidR="00E56A40" w:rsidRPr="00FF4196" w:rsidRDefault="00E56A40" w:rsidP="00E56A40">
      <w:pPr>
        <w:pStyle w:val="endnotebibliography"/>
        <w:rPr>
          <w:lang w:val="en-US"/>
        </w:rPr>
      </w:pPr>
      <w:r w:rsidRPr="00FF4196">
        <w:rPr>
          <w:lang w:val="en-US"/>
        </w:rPr>
        <w:t>            The kinetics of ethanol inhibition on cell growth and ethanol production by Kluyveromyces marxianus UCD (FST) 55-82 were studied during batch growth. The liquid medium contained 10% (wt/vol) inulin-type sugars derived from an extract of Jerusalem artichoke (Helianthus tuberosus) tubers, supplemented with small amounts of Tween 80, oleic acid, and corn steep liquor. Initial ethanol concentrations ranging from 0 to 80 g/liter in the liquid medium were used to study the inhibitory effect of ethanol on the following parameters: maximum specific growth rate (mu(max)), cell and ethanol yields, and sugar utilization. It was found that as the initial ethanol concentration increased from 0 to 80 g/liter, and maximum specific growth rate of K. marxianus cells decreased from 0.42 to 0.09 h, whereas the ethanol and cell yields and sugar utilization remained almost constant. A simple kinetic model was used to correlate the mu(max) results and the rates of cell and ethanol production, and the appropriate constants were evaluated.</w:t>
      </w:r>
    </w:p>
    <w:p w14:paraId="217A6DBC" w14:textId="77777777" w:rsidR="00E56A40" w:rsidRPr="00FF4196" w:rsidRDefault="00E56A40" w:rsidP="00E56A40">
      <w:pPr>
        <w:pStyle w:val="endnotebibliography"/>
        <w:rPr>
          <w:lang w:val="en-US"/>
        </w:rPr>
      </w:pPr>
      <w:r w:rsidRPr="00FF4196">
        <w:rPr>
          <w:lang w:val="en-US"/>
        </w:rPr>
        <w:t> </w:t>
      </w:r>
    </w:p>
    <w:p w14:paraId="70D08416" w14:textId="77777777" w:rsidR="00E56A40" w:rsidRPr="00FF4196" w:rsidRDefault="00E56A40" w:rsidP="00E56A40">
      <w:pPr>
        <w:pStyle w:val="endnotebibliography"/>
        <w:rPr>
          <w:lang w:val="en-US"/>
        </w:rPr>
      </w:pPr>
      <w:r w:rsidRPr="00FF4196">
        <w:rPr>
          <w:lang w:val="en-US"/>
        </w:rPr>
        <w:t xml:space="preserve">Boga, M., et al. (2011). "Antioxidant and anticholinesterase activities of eleven edible plants." </w:t>
      </w:r>
      <w:r w:rsidRPr="00FF4196">
        <w:rPr>
          <w:u w:val="single"/>
          <w:lang w:val="en-US"/>
        </w:rPr>
        <w:t>Pharm Biol</w:t>
      </w:r>
      <w:r w:rsidRPr="00FF4196">
        <w:rPr>
          <w:lang w:val="en-US"/>
        </w:rPr>
        <w:t xml:space="preserve"> </w:t>
      </w:r>
      <w:r w:rsidRPr="00FF4196">
        <w:rPr>
          <w:rStyle w:val="Pogrubienie"/>
          <w:lang w:val="en-US"/>
        </w:rPr>
        <w:t>49</w:t>
      </w:r>
      <w:r w:rsidRPr="00FF4196">
        <w:rPr>
          <w:lang w:val="en-US"/>
        </w:rPr>
        <w:t>(3): 290-295.</w:t>
      </w:r>
    </w:p>
    <w:p w14:paraId="0A682214" w14:textId="77777777" w:rsidR="00E56A40" w:rsidRPr="00FF4196" w:rsidRDefault="00E56A40" w:rsidP="00E56A40">
      <w:pPr>
        <w:pStyle w:val="endnotebibliography"/>
        <w:rPr>
          <w:lang w:val="en-US"/>
        </w:rPr>
      </w:pPr>
      <w:r w:rsidRPr="00FF4196">
        <w:rPr>
          <w:lang w:val="en-US"/>
        </w:rPr>
        <w:t>            CONTEXT: Consumers have become more interested in beneficial effects of vegetables, fruits, and tea to protect their health. OBJECTIVE: The antioxidant potential and anticholinesterase activity of eleven edible plants were investigated. MATERIAL AND METHODS: The dichloromethane, ethanol and water extracts prepared from celery [Apium graveolens L. (Umbelliferae)], Jerusalem artichoke [Helianthus tuberosus L. (Compositae)], spinach [Spinacia oleracea L. (Chenopodiaceae)], chard [Beta vulgaris L. var. cicla (Chenopodiaceae)], purslane [Portulaca oleracea L. (Portulacaceae)], ispit, or borage [Trachystemon orientale (L.) G. Don (Boraginaceae)], garden rocket [Eruca sativa Mill. (Brassicaceae)], red cabbage [Brassica oleracea L. var. capitata f. rubra DC. (Cruciferae)], lime flower [Tilia tomentosa Moench (Tiliaceae)], cinnamon [Cinnamomum cassia Presl. (Lauraceae)], and rosehip [Rosa canina L. (Rosaceae)], were tested to determine their antioxidant and anticholinesterase activities by using CUPRAC (cupric reducing antioxidant capacity) and Ellman methods, respectively, for the first time. RESULTS: As a result, the dichloromethane, ethanol and water extracts of cinnamon showed the best antioxidant effect among the extracts of the tested plants. The ethanol extract of cinnamon exhibited 63.02% inhibition against acetylcholinesterase and 85.11% inhibition against butyrylcholinesterase (BChE) at 200 microg/mL concentration while the dichloromethane extract of garden rocket possessed the highest inhibition (91.27%) against BChE among all the tested extracts. DISCUSSION AND CONCLUSION: This study indicated that the ethanol extract of cinnamon may be a new potential resource of natural antioxidant and anticholinesterase compounds.</w:t>
      </w:r>
    </w:p>
    <w:p w14:paraId="57F003E6" w14:textId="77777777" w:rsidR="00E56A40" w:rsidRPr="00FF4196" w:rsidRDefault="00E56A40" w:rsidP="00E56A40">
      <w:pPr>
        <w:pStyle w:val="endnotebibliography"/>
        <w:rPr>
          <w:lang w:val="en-US"/>
        </w:rPr>
      </w:pPr>
      <w:r w:rsidRPr="00FF4196">
        <w:rPr>
          <w:lang w:val="en-US"/>
        </w:rPr>
        <w:t> </w:t>
      </w:r>
    </w:p>
    <w:p w14:paraId="2DD275F5" w14:textId="77777777" w:rsidR="00E56A40" w:rsidRPr="00FF4196" w:rsidRDefault="00E56A40" w:rsidP="00E56A40">
      <w:pPr>
        <w:pStyle w:val="endnotebibliography"/>
        <w:rPr>
          <w:lang w:val="en-US"/>
        </w:rPr>
      </w:pPr>
      <w:r w:rsidRPr="00FF4196">
        <w:rPr>
          <w:lang w:val="en-US"/>
        </w:rPr>
        <w:lastRenderedPageBreak/>
        <w:t xml:space="preserve">Compes, E., et al. (2006). "Hypersensitivity to black locust (Robinia pseudoacacia) pollen: "allergy mirages"." </w:t>
      </w:r>
      <w:r w:rsidRPr="00FF4196">
        <w:rPr>
          <w:u w:val="single"/>
          <w:lang w:val="en-US"/>
        </w:rPr>
        <w:t>Ann Allergy Asthma Immunol</w:t>
      </w:r>
      <w:r w:rsidRPr="00FF4196">
        <w:rPr>
          <w:lang w:val="en-US"/>
        </w:rPr>
        <w:t xml:space="preserve"> </w:t>
      </w:r>
      <w:r w:rsidRPr="00FF4196">
        <w:rPr>
          <w:rStyle w:val="Pogrubienie"/>
          <w:lang w:val="en-US"/>
        </w:rPr>
        <w:t>96</w:t>
      </w:r>
      <w:r w:rsidRPr="00FF4196">
        <w:rPr>
          <w:lang w:val="en-US"/>
        </w:rPr>
        <w:t>(4): 586-592.</w:t>
      </w:r>
    </w:p>
    <w:p w14:paraId="7E0404F4" w14:textId="77777777" w:rsidR="00E56A40" w:rsidRPr="00FF4196" w:rsidRDefault="00E56A40" w:rsidP="00E56A40">
      <w:pPr>
        <w:pStyle w:val="endnotebibliography"/>
        <w:rPr>
          <w:lang w:val="en-US"/>
        </w:rPr>
      </w:pPr>
      <w:r w:rsidRPr="00FF4196">
        <w:rPr>
          <w:lang w:val="en-US"/>
        </w:rPr>
        <w:t>            BACKGROUND: The allergenicity of the ornamental tree Robinia pseudoacacia, or black locust, is unknown. OBJECTIVE: To evaluate the prevalence of sensitization to R. pseudoacacia pollen, its possible allergenic cross-reactivity with other common pollens, and the potential implication of pollen panallergens (profilin, polcalcin, and 1,3-beta-glucanase) as a cause of sensitization to R. pseudoacacia pollen. METHODS: Skin prick testing with R. pseudoacacia pollen was performed in 149 patients with pollinosis. Nasal challenge with R. pseudoacacia pollen was performed in 10 patients. The prevalence of sensitization to the recombinant forms of profilin (rChe a 2), polcalcin (rChe a 3), and the N-terminal of the 1,3-beta-glucanase (rNtD of Ole e 9) was investigated. Immunoblotting, enzyme-linked immunosorbent assay, and competitive inhibition assays were performed with R. pseudoacacia pollen and recombinant pollen allergens. RESULTS: Sixty-four patients (43%) had positive skin prick test reactions to R. pseudoacacia pollen. Nasal challenge results were positive in 5 sensitized patients and negative in 4 controls and 1 sensitized patient. The allergenic profile of R. pseudoacacia pollen comprises at least the panallergen profilin, a calcium-binding protein, and a 1,3-beta-glucanase. The prevalence of sensitization to rChe a 2, rChe a 3, and rNtD of Ole e 9 was 60%, 33%, and 87%, respectively, among patients sensitized to R. pseudoacacia pollen. Binding of IgE to R. pseudoacacia extract was completely inhibited by Robinia, Chenopodium, Olea, Cupressus, and Lolium extracts. CONCLUSIONS: The high prevalence of R. pseudoacacia pollen sensitization in patients with pollinosis is likely to be due to cross-sensitization to panallergens (profilin, polcalcin, and 1,3-beta-glucanase) from other common pollens. This phenomenon may lead to a diagnosis of "allergy mirages."</w:t>
      </w:r>
    </w:p>
    <w:p w14:paraId="7B3EF362" w14:textId="77777777" w:rsidR="00E56A40" w:rsidRPr="00FF4196" w:rsidRDefault="00E56A40" w:rsidP="00E56A40">
      <w:pPr>
        <w:pStyle w:val="endnotebibliography"/>
        <w:rPr>
          <w:lang w:val="en-US"/>
        </w:rPr>
      </w:pPr>
      <w:r w:rsidRPr="00FF4196">
        <w:rPr>
          <w:lang w:val="en-US"/>
        </w:rPr>
        <w:t> </w:t>
      </w:r>
    </w:p>
    <w:p w14:paraId="390BE26D" w14:textId="77777777" w:rsidR="00E56A40" w:rsidRPr="00FF4196" w:rsidRDefault="00E56A40" w:rsidP="00E56A40">
      <w:pPr>
        <w:pStyle w:val="endnotebibliography"/>
        <w:rPr>
          <w:lang w:val="en-US"/>
        </w:rPr>
      </w:pPr>
      <w:r w:rsidRPr="00FF4196">
        <w:rPr>
          <w:lang w:val="en-US"/>
        </w:rPr>
        <w:t xml:space="preserve">Debbache-Benaida, N., et al. (2013). "Pharmacological potential of Populus nigra extract as antioxidant, anti-inflammatory, cardiovascular and hepatoprotective agent." </w:t>
      </w:r>
      <w:r w:rsidRPr="00FF4196">
        <w:rPr>
          <w:u w:val="single"/>
          <w:lang w:val="en-US"/>
        </w:rPr>
        <w:t>Asian Pac J Trop Biomed</w:t>
      </w:r>
      <w:r w:rsidRPr="00FF4196">
        <w:rPr>
          <w:lang w:val="en-US"/>
        </w:rPr>
        <w:t xml:space="preserve"> </w:t>
      </w:r>
      <w:r w:rsidRPr="00FF4196">
        <w:rPr>
          <w:rStyle w:val="Pogrubienie"/>
          <w:lang w:val="en-US"/>
        </w:rPr>
        <w:t>3</w:t>
      </w:r>
      <w:r w:rsidRPr="00FF4196">
        <w:rPr>
          <w:lang w:val="en-US"/>
        </w:rPr>
        <w:t>(9): 697-704.</w:t>
      </w:r>
    </w:p>
    <w:p w14:paraId="17FA31C3" w14:textId="77777777" w:rsidR="00E56A40" w:rsidRPr="00FF4196" w:rsidRDefault="00E56A40" w:rsidP="00E56A40">
      <w:pPr>
        <w:pStyle w:val="endnotebibliography"/>
        <w:rPr>
          <w:lang w:val="en-US"/>
        </w:rPr>
      </w:pPr>
      <w:r w:rsidRPr="00FF4196">
        <w:rPr>
          <w:lang w:val="en-US"/>
        </w:rPr>
        <w:t>            OBJECTIVE: To evaluate antioxidant, anti-inflammatory, hepatoprotective and vasorelaxant activities of Populus nigra flower buds ethanolic extract. METHODS: Antioxidant and anti-inflammatory activities of the extract were assessed using respectively the ABTS test and the animal model of carrageenan-induced paw edema. Protection from hepatic toxicity caused by aluminum was examined by histopathologic analysis of liver sections. Vasorelaxant effect was estimated in endothelium-intact and -rubbed rings of porcine coronary arteries precontracted with high concentration of U46619. RESULTS: The results showed a moderate antioxidant activity (40%), but potent anti-inflammatory activity (49.9%) on carrageenan-induced mice paw edema, and also as revealed by histopathologic examination, complete protection against AlCl(3)-induced hepatic toxicity. Relaxant effects of the same extract on vascular preparation from porcine aorta precontracted with high concentration of U46619 were considerable at 10(-)(1) g/L, and comparable (P&gt;0.05) between endothelium-intact (67.74%, IC(5)(0)=0.04 mg/mL) and -rubbed (72.72%, IC(5)(0)=0.075 mg/mL) aortic rings. CONCLUSIONS: The extract exerted significant anti-inflammatory, hepatoprotective and vasorelaxant activities, the latter being endothelium-independent believed to be mediated mainly by the ability of components present in the extract to exert antioxidant properties, probably related to an inhibition of Ca(2)(+) influx.</w:t>
      </w:r>
    </w:p>
    <w:p w14:paraId="7453C839" w14:textId="77777777" w:rsidR="00E56A40" w:rsidRPr="00FF4196" w:rsidRDefault="00E56A40" w:rsidP="00E56A40">
      <w:pPr>
        <w:pStyle w:val="endnotebibliography"/>
        <w:rPr>
          <w:lang w:val="en-US"/>
        </w:rPr>
      </w:pPr>
      <w:r w:rsidRPr="00FF4196">
        <w:rPr>
          <w:lang w:val="en-US"/>
        </w:rPr>
        <w:lastRenderedPageBreak/>
        <w:t> </w:t>
      </w:r>
    </w:p>
    <w:p w14:paraId="4D35305C" w14:textId="77777777" w:rsidR="00E56A40" w:rsidRPr="00FF4196" w:rsidRDefault="00E56A40" w:rsidP="00E56A40">
      <w:pPr>
        <w:pStyle w:val="endnotebibliography"/>
        <w:rPr>
          <w:lang w:val="en-US"/>
        </w:rPr>
      </w:pPr>
      <w:r w:rsidRPr="00FF4196">
        <w:rPr>
          <w:lang w:val="en-US"/>
        </w:rPr>
        <w:t xml:space="preserve">Derksen, A., et al. (2016). "Antiviral activity of hydroalcoholic extract from Eupatorium perfoliatum L. against the attachment of influenza A virus." </w:t>
      </w:r>
      <w:r w:rsidRPr="00FF4196">
        <w:rPr>
          <w:u w:val="single"/>
          <w:lang w:val="en-US"/>
        </w:rPr>
        <w:t>J Ethnopharmacol</w:t>
      </w:r>
      <w:r w:rsidRPr="00FF4196">
        <w:rPr>
          <w:lang w:val="en-US"/>
        </w:rPr>
        <w:t xml:space="preserve"> </w:t>
      </w:r>
      <w:r w:rsidRPr="00FF4196">
        <w:rPr>
          <w:rStyle w:val="Pogrubienie"/>
          <w:lang w:val="en-US"/>
        </w:rPr>
        <w:t>188</w:t>
      </w:r>
      <w:r w:rsidRPr="00FF4196">
        <w:rPr>
          <w:lang w:val="en-US"/>
        </w:rPr>
        <w:t>: 144-152.</w:t>
      </w:r>
    </w:p>
    <w:p w14:paraId="0C8D2ACB" w14:textId="77777777" w:rsidR="00E56A40" w:rsidRPr="00FF4196" w:rsidRDefault="00E56A40" w:rsidP="00E56A40">
      <w:pPr>
        <w:pStyle w:val="endnotebibliography"/>
        <w:rPr>
          <w:lang w:val="en-US"/>
        </w:rPr>
      </w:pPr>
      <w:r w:rsidRPr="00FF4196">
        <w:rPr>
          <w:lang w:val="en-US"/>
        </w:rPr>
        <w:t>            ETHNOPHARMACOLOGICAL RELEVANCE: Aerial parts of Eupatorium perfoliatum have been traditionally used by American natives as a treatment for fever and infections. Also modern phytotherapy in Europe documents the use of hydroalcoholic extracts of this herbal material for the treatment of infections of the upper respiratory tract. AIM OF THE STUDY: The aim of the present study was to characterize the anti-influenza A virus (IAV) potential of extracts derived from the aerial parts of E. perfoliatum and to identify their antiviral mode of action and potential active fraction's compounds of the extract. MATERIALS AND METHODS: The inhibitory effects of extracts obtained by different organic solvents with different polarities on the cytopathic effect induced by IAV replication was determined in a Madin-Darby Canine Kidney Epithelial (MDCK II) cell-based assay measuring cell viability by MTT stain (MTTIAV assay). Plaque reduction assays were used for investigation of antiviral activity. The mode of action was investigated by different incubation and treatment cycles as well as hemagglutination inhibition assays. Influence of the test extract on tumor necrosis factor (TNF-alpha) and epidermal growth factor (EGF)-induced cell signaling was analyzed in human lung epithelial (A549) cells. Analytical characterization of extract and fractions obtained from the extract was performed by UHPLC-MS. RESULTS: Hydroalcoholic extracts from the aerial parts of E. perfoliatum were shown to inhibit growth of a clinical isolate of IAV(H1N1)pdm09 I1 and the influenza virus A/Puerto Rico/8/34 (PR8; H1N1) with a half-maximal inhibitory concentration (IC50) of 7microg/mL and 14microg/mL, and a selectivity index (SI) (half-maximal cytotoxic concentration (CC50)/IC50)) of 52 and 26, respectively. Extracts prepared with dichloromethane and methanol were inactive. At concentrations &gt;1-10microg/mL of the hydroalcoholic extract plaque formation of IAV(H1N1)pdm09 was abrogated. The extract was also active against an oseltamivir-resistant isolate of IAV(H1N1)pdm09. The extract blocked attachment of IAV and interfered with virus-induced hemagglutination. TNF-alpha-induced signal transduction in A549 cells was not affected, while the EGF-induced signaling to phosphorylated ERK was slightly upregulated by the extract. Bioassay-guided fractionation and subsequent LC-MS analysis indicated that the antiviral activity might be due to polyphenolic compounds with higher molecular weights, which strongly interact with stationary phases of different chromatographic systems. These still unknown compounds with probably high molecular weight could not be isolated in the present study. A variety of different flavonoid glycosides and caffeoyl quinic acids obtained from E. perfoliatum did definitely not contribute to the antiviral effect of the extract and its respective fractions. CONCLUSION: Hydroalcoholic extracts from the aerial parts of E. perfoliatum and its main active polyphenolic constituents protect cells from IAV infection by inhibiting viral attachment to the host cells. The extract appears to be a promising expansion of the currently available anti-influenza agents.</w:t>
      </w:r>
    </w:p>
    <w:p w14:paraId="1EAF5A68" w14:textId="77777777" w:rsidR="00E56A40" w:rsidRPr="00FF4196" w:rsidRDefault="00E56A40" w:rsidP="00E56A40">
      <w:pPr>
        <w:pStyle w:val="endnotebibliography"/>
        <w:rPr>
          <w:lang w:val="en-US"/>
        </w:rPr>
      </w:pPr>
      <w:r w:rsidRPr="00FF4196">
        <w:rPr>
          <w:lang w:val="en-US"/>
        </w:rPr>
        <w:t> </w:t>
      </w:r>
    </w:p>
    <w:p w14:paraId="482C0526" w14:textId="77777777" w:rsidR="00E56A40" w:rsidRPr="00FF4196" w:rsidRDefault="00E56A40" w:rsidP="00E56A40">
      <w:pPr>
        <w:pStyle w:val="endnotebibliography"/>
        <w:rPr>
          <w:lang w:val="en-US"/>
        </w:rPr>
      </w:pPr>
      <w:r w:rsidRPr="00FF4196">
        <w:rPr>
          <w:lang w:val="en-US"/>
        </w:rPr>
        <w:t xml:space="preserve">Dudonne, S., et al. (2011). "Phenolic composition and antioxidant properties of poplar bud (Populus nigra) extract: individual antioxidant contribution of phenolics and transcriptional effect on skin aging." </w:t>
      </w:r>
      <w:r w:rsidRPr="00FF4196">
        <w:rPr>
          <w:u w:val="single"/>
          <w:lang w:val="en-US"/>
        </w:rPr>
        <w:t>J Agric Food Chem</w:t>
      </w:r>
      <w:r w:rsidRPr="00FF4196">
        <w:rPr>
          <w:lang w:val="en-US"/>
        </w:rPr>
        <w:t xml:space="preserve"> </w:t>
      </w:r>
      <w:r w:rsidRPr="00FF4196">
        <w:rPr>
          <w:rStyle w:val="Pogrubienie"/>
          <w:lang w:val="en-US"/>
        </w:rPr>
        <w:t>59</w:t>
      </w:r>
      <w:r w:rsidRPr="00FF4196">
        <w:rPr>
          <w:lang w:val="en-US"/>
        </w:rPr>
        <w:t>(9): 4527-4536.</w:t>
      </w:r>
    </w:p>
    <w:p w14:paraId="5BCE5393" w14:textId="77777777" w:rsidR="00E56A40" w:rsidRPr="00FF4196" w:rsidRDefault="00E56A40" w:rsidP="00E56A40">
      <w:pPr>
        <w:pStyle w:val="endnotebibliography"/>
        <w:rPr>
          <w:lang w:val="en-US"/>
        </w:rPr>
      </w:pPr>
      <w:r w:rsidRPr="00FF4196">
        <w:rPr>
          <w:lang w:val="en-US"/>
        </w:rPr>
        <w:lastRenderedPageBreak/>
        <w:t>            The Populus species possess great potential for therapeutical applications, especially for their known anti-inflammatory properties. The antioxidant properties of propolis, a hive product collected by honey bees mainly from poplar bud exudates, suggest that poplar buds also possess antioxidant properties. Here is reported the characterization of the antioxidant properties of an aqueous poplar bud (Populus nigra) extract. It presented a high total phenolic content, and moderate antioxidant properties as determined by ORAC assay. The main phenolic compounds identified were phenolic acids and flavonoid aglycons. These phenolic compounds were analyzed by ORAC assay for their individual antioxidant activity, in order to determine the major contributors to the total antioxidant activity of the extract. Thanks to their high antioxidant activity, caffeic and p-coumaric acids were identified as the major antioxidant components. Representing only 3.5% of its dry weight, these compounds represented together about 50% of the total antioxidant activity of the extract. The antioxidant properties of poplar bud extract and the phenolic compounds identified were also analyzed by cellular antioxidant activity assay (CAA), which was weakly correlated with ORAC assay. The transcriptional effect of poplar bud extract on skin aging was evaluated in vitro on a replicative senescence model of normal human dermal fibroblasts, using a customized DNA macroarray specifically designed to investigate skin aging markers. Among the detected genes, poplar bud extract significantly regulated genes involved in antioxidant defenses, inflammatory response and cell renewal. The collective antioxidant properties and transcriptional effect of this extract suggest potential antiaging properties which could be utilized in cosmetic and nutraceutical formulations.</w:t>
      </w:r>
    </w:p>
    <w:p w14:paraId="15692744" w14:textId="77777777" w:rsidR="00E56A40" w:rsidRPr="00FF4196" w:rsidRDefault="00E56A40" w:rsidP="00E56A40">
      <w:pPr>
        <w:pStyle w:val="endnotebibliography"/>
        <w:rPr>
          <w:lang w:val="en-US"/>
        </w:rPr>
      </w:pPr>
      <w:r w:rsidRPr="00FF4196">
        <w:rPr>
          <w:lang w:val="en-US"/>
        </w:rPr>
        <w:t> </w:t>
      </w:r>
    </w:p>
    <w:p w14:paraId="7E140EA7" w14:textId="77777777" w:rsidR="00E56A40" w:rsidRPr="00FF4196" w:rsidRDefault="00E56A40" w:rsidP="00E56A40">
      <w:pPr>
        <w:pStyle w:val="endnotebibliography"/>
        <w:rPr>
          <w:lang w:val="en-US"/>
        </w:rPr>
      </w:pPr>
      <w:r>
        <w:t xml:space="preserve">Durak, A. and U. Gawlik-Dziki (2014). </w:t>
      </w:r>
      <w:r w:rsidRPr="00FF4196">
        <w:rPr>
          <w:lang w:val="en-US"/>
        </w:rPr>
        <w:t xml:space="preserve">"The study of interactions between active compounds of coffee and willow (Salix sp.) bark water extract." </w:t>
      </w:r>
      <w:r w:rsidRPr="00FF4196">
        <w:rPr>
          <w:u w:val="single"/>
          <w:lang w:val="en-US"/>
        </w:rPr>
        <w:t>Biomed Res Int</w:t>
      </w:r>
      <w:r w:rsidRPr="00FF4196">
        <w:rPr>
          <w:lang w:val="en-US"/>
        </w:rPr>
        <w:t xml:space="preserve"> </w:t>
      </w:r>
      <w:r w:rsidRPr="00FF4196">
        <w:rPr>
          <w:rStyle w:val="Pogrubienie"/>
          <w:lang w:val="en-US"/>
        </w:rPr>
        <w:t>2014</w:t>
      </w:r>
      <w:r w:rsidRPr="00FF4196">
        <w:rPr>
          <w:lang w:val="en-US"/>
        </w:rPr>
        <w:t>: 386953.</w:t>
      </w:r>
    </w:p>
    <w:p w14:paraId="62830A49" w14:textId="77777777" w:rsidR="00E56A40" w:rsidRPr="00FF4196" w:rsidRDefault="00E56A40" w:rsidP="00E56A40">
      <w:pPr>
        <w:pStyle w:val="endnotebibliography"/>
        <w:rPr>
          <w:lang w:val="en-US"/>
        </w:rPr>
      </w:pPr>
      <w:r w:rsidRPr="00FF4196">
        <w:rPr>
          <w:lang w:val="en-US"/>
        </w:rPr>
        <w:t>            Coffee and willow are known as valuable sources of biologically active phytochemicals such as chlorogenic acid, caffeine, and salicin. The aim of the study was to determine the interactions between the active compounds contained in water extracts from coffee and bark of willow (Salix purpurea and Salix myrsinifolia). Raw materials and their mixtures were characterized by multidirectional antioxidant activities; however, bioactive constituents interacted with each other. Synergism was observed for ability of inhibition of lipid peroxidation and reducing power, whereas compounds able to scavenge ABTS radical cation acted antagonistically. Additionally, phytochemicals from willow bark possessed hydrophilic character and thermostability which justifies their potential use as an ingredient in coffee beverages. Proposed mixtures may be used in the prophylaxis or treatment of some civilization diseases linked with oxidative stress. Most importantly, strong synergism observed for phytochemicals able to prevent lipids against oxidation may suggest protective effect for cell membrane phospholipids. Obtained results indicate that extracts from bark tested Salix genotypes as an ingredient in coffee beverages can provide health promoting benefits to the consumers; however, this issue requires further study.</w:t>
      </w:r>
    </w:p>
    <w:p w14:paraId="582E88D5" w14:textId="77777777" w:rsidR="00E56A40" w:rsidRPr="00FF4196" w:rsidRDefault="00E56A40" w:rsidP="00E56A40">
      <w:pPr>
        <w:pStyle w:val="endnotebibliography"/>
        <w:rPr>
          <w:lang w:val="en-US"/>
        </w:rPr>
      </w:pPr>
      <w:r w:rsidRPr="00FF4196">
        <w:rPr>
          <w:lang w:val="en-US"/>
        </w:rPr>
        <w:t> </w:t>
      </w:r>
    </w:p>
    <w:p w14:paraId="0C4425F4" w14:textId="77777777" w:rsidR="00E56A40" w:rsidRPr="00FF4196" w:rsidRDefault="00E56A40" w:rsidP="00E56A40">
      <w:pPr>
        <w:pStyle w:val="endnotebibliography"/>
        <w:rPr>
          <w:lang w:val="en-US"/>
        </w:rPr>
      </w:pPr>
      <w:r w:rsidRPr="00FF4196">
        <w:rPr>
          <w:lang w:val="en-US"/>
        </w:rPr>
        <w:t xml:space="preserve">Feng, W. S., et al. (2014). "A new kaempferol trioside from Silphium perfoliatum." </w:t>
      </w:r>
      <w:r w:rsidRPr="00FF4196">
        <w:rPr>
          <w:u w:val="single"/>
          <w:lang w:val="en-US"/>
        </w:rPr>
        <w:t>J Asian Nat Prod Res</w:t>
      </w:r>
      <w:r w:rsidRPr="00FF4196">
        <w:rPr>
          <w:lang w:val="en-US"/>
        </w:rPr>
        <w:t xml:space="preserve"> </w:t>
      </w:r>
      <w:r w:rsidRPr="00FF4196">
        <w:rPr>
          <w:rStyle w:val="Pogrubienie"/>
          <w:lang w:val="en-US"/>
        </w:rPr>
        <w:t>16</w:t>
      </w:r>
      <w:r w:rsidRPr="00FF4196">
        <w:rPr>
          <w:lang w:val="en-US"/>
        </w:rPr>
        <w:t>(4): 393-399.</w:t>
      </w:r>
    </w:p>
    <w:p w14:paraId="2D70BB90" w14:textId="77777777" w:rsidR="00E56A40" w:rsidRPr="00FF4196" w:rsidRDefault="00E56A40" w:rsidP="00E56A40">
      <w:pPr>
        <w:pStyle w:val="endnotebibliography"/>
        <w:rPr>
          <w:lang w:val="en-US"/>
        </w:rPr>
      </w:pPr>
      <w:r w:rsidRPr="00FF4196">
        <w:rPr>
          <w:lang w:val="en-US"/>
        </w:rPr>
        <w:t xml:space="preserve">            A new apiose-containing kaempferol trioside, kaempferol-3-O-alpha-L-rhamnosyl-(1''' --&gt; 6'')-O-beta-D-galactopyranosyl-7-O-beta-D-apiofuranoside, along with 16 known </w:t>
      </w:r>
      <w:r w:rsidRPr="00FF4196">
        <w:rPr>
          <w:lang w:val="en-US"/>
        </w:rPr>
        <w:lastRenderedPageBreak/>
        <w:t>compounds, were isolated from 50% acetone extract of Silphium perfoliatum L. Their structures were elucidated by acid hydrolysis and spectroscopic techniques including UV, IR, MS, (1)H, (1)(3)C, and 2D-NMR. In addition, the pharmacological activity of compound 1 was tested with HepG2 and Balb/c mice (splenic lymphocytes and thymic lymphocytes) in vitro, and it exhibited inhibitory effect on the proliferation of HepG2 cells and showed the immunosuppressive activity.</w:t>
      </w:r>
    </w:p>
    <w:p w14:paraId="58D84672" w14:textId="77777777" w:rsidR="00E56A40" w:rsidRPr="00FF4196" w:rsidRDefault="00E56A40" w:rsidP="00E56A40">
      <w:pPr>
        <w:pStyle w:val="endnotebibliography"/>
        <w:rPr>
          <w:lang w:val="en-US"/>
        </w:rPr>
      </w:pPr>
      <w:r w:rsidRPr="00FF4196">
        <w:rPr>
          <w:lang w:val="en-US"/>
        </w:rPr>
        <w:t> </w:t>
      </w:r>
    </w:p>
    <w:p w14:paraId="7C137A06" w14:textId="77777777" w:rsidR="00E56A40" w:rsidRPr="00FF4196" w:rsidRDefault="00E56A40" w:rsidP="00E56A40">
      <w:pPr>
        <w:pStyle w:val="endnotebibliography"/>
        <w:rPr>
          <w:lang w:val="en-US"/>
        </w:rPr>
      </w:pPr>
      <w:r w:rsidRPr="00FF4196">
        <w:rPr>
          <w:lang w:val="en-US"/>
        </w:rPr>
        <w:t xml:space="preserve">Freischmidt, A., et al. (2012). "Contribution of flavonoids and catechol to the reduction of ICAM-1 expression in endothelial cells by a standardised Willow bark extract." </w:t>
      </w:r>
      <w:r w:rsidRPr="00FF4196">
        <w:rPr>
          <w:u w:val="single"/>
          <w:lang w:val="en-US"/>
        </w:rPr>
        <w:t>Phytomedicine</w:t>
      </w:r>
      <w:r w:rsidRPr="00FF4196">
        <w:rPr>
          <w:lang w:val="en-US"/>
        </w:rPr>
        <w:t xml:space="preserve"> </w:t>
      </w:r>
      <w:r w:rsidRPr="00FF4196">
        <w:rPr>
          <w:rStyle w:val="Pogrubienie"/>
          <w:lang w:val="en-US"/>
        </w:rPr>
        <w:t>19</w:t>
      </w:r>
      <w:r w:rsidRPr="00FF4196">
        <w:rPr>
          <w:lang w:val="en-US"/>
        </w:rPr>
        <w:t>(3-4): 245-252.</w:t>
      </w:r>
    </w:p>
    <w:p w14:paraId="123D26A1" w14:textId="77777777" w:rsidR="00E56A40" w:rsidRPr="00FF4196" w:rsidRDefault="00E56A40" w:rsidP="00E56A40">
      <w:pPr>
        <w:pStyle w:val="endnotebibliography"/>
        <w:rPr>
          <w:lang w:val="en-US"/>
        </w:rPr>
      </w:pPr>
      <w:r w:rsidRPr="00FF4196">
        <w:rPr>
          <w:lang w:val="en-US"/>
        </w:rPr>
        <w:t>            INTRODUCTION: A quantified aqueous Willow bark extract (STW 33-I) was tested concerning its inhibitory activity on TNF-alpha induced ICAM-1 expression in human microvascular endothelial cells (HMEC-1) and further fractionated to isolate the active compounds. RESULTS: At 50 mug/ml the extract, which had been prepared from Salix purpurea L., decreased ICAM-1 expression to 40% compared to control cells without showing cytotoxic effects. Further liquid-liquid partition revealed an ethyl acetate phase with potent reduction of ICAM-1 expression to 40% at 8 mug/ml. This fraction was comprehensively characterised by the isolation of flavanone aglyca and their corresponding glycosides, chalcone glycosides, salicin derivatives, cyclohexane-1,2-diol glycosides, catechol and trans-p-coumaric acid. All compounds were investigated for their activity on TNF-alpha induced ICAM-1 expression. The flavonoid and chalcone glycosides were not active up to 50 muM, whereas catechol and eriodictyol at the same concentration showed a significant reduction of ICAM-1 expression to 50% of control. Interestingly, other isolated flavanone aglyca like taxifolin, dihydrokaempferol and naringenin showed only weak or moderate inhibitory activity. Eriodictyol was a minor compound in the extract, whereas the catechol content in the extract (without excipients) reached 2.3%, determined by HPLC. One of the isolated cyclohexan-1,2-diol glucosides, 6'-O-4-hydroxybenzoyl-grandidentin, is a new natural compound. CONCLUSION: As catechol is quantitatively important in Willow bark extracts it can be concluded from the in vitro data that not only flavonoids and salicin derivatives, but also catechol can probably contribute to the anti-inflammatory activity of Willow bark extracts.</w:t>
      </w:r>
    </w:p>
    <w:p w14:paraId="4EFF9813" w14:textId="77777777" w:rsidR="00E56A40" w:rsidRPr="00FF4196" w:rsidRDefault="00E56A40" w:rsidP="00E56A40">
      <w:pPr>
        <w:pStyle w:val="endnotebibliography"/>
        <w:rPr>
          <w:lang w:val="en-US"/>
        </w:rPr>
      </w:pPr>
      <w:r w:rsidRPr="00FF4196">
        <w:rPr>
          <w:lang w:val="en-US"/>
        </w:rPr>
        <w:t> </w:t>
      </w:r>
    </w:p>
    <w:p w14:paraId="3E79E379" w14:textId="77777777" w:rsidR="00E56A40" w:rsidRPr="00FF4196" w:rsidRDefault="00E56A40" w:rsidP="00E56A40">
      <w:pPr>
        <w:pStyle w:val="endnotebibliography"/>
        <w:rPr>
          <w:lang w:val="en-US"/>
        </w:rPr>
      </w:pPr>
      <w:r w:rsidRPr="00FF4196">
        <w:rPr>
          <w:lang w:val="en-US"/>
        </w:rPr>
        <w:t xml:space="preserve">Glinkowska, G., et al. (1997). "The effect of phenolic compounds of poplar leaves extract on cutaneous angiogenesis reaction induced in mice by human mononuclear leukocytes." </w:t>
      </w:r>
      <w:r w:rsidRPr="00FF4196">
        <w:rPr>
          <w:u w:val="single"/>
          <w:lang w:val="en-US"/>
        </w:rPr>
        <w:t>Acta Pol Pharm</w:t>
      </w:r>
      <w:r w:rsidRPr="00FF4196">
        <w:rPr>
          <w:lang w:val="en-US"/>
        </w:rPr>
        <w:t xml:space="preserve"> </w:t>
      </w:r>
      <w:r w:rsidRPr="00FF4196">
        <w:rPr>
          <w:rStyle w:val="Pogrubienie"/>
          <w:lang w:val="en-US"/>
        </w:rPr>
        <w:t>54</w:t>
      </w:r>
      <w:r w:rsidRPr="00FF4196">
        <w:rPr>
          <w:lang w:val="en-US"/>
        </w:rPr>
        <w:t>(2): 151-154.</w:t>
      </w:r>
    </w:p>
    <w:p w14:paraId="6518793D" w14:textId="77777777" w:rsidR="00E56A40" w:rsidRPr="00FF4196" w:rsidRDefault="00E56A40" w:rsidP="00E56A40">
      <w:pPr>
        <w:pStyle w:val="endnotebibliography"/>
        <w:rPr>
          <w:lang w:val="en-US"/>
        </w:rPr>
      </w:pPr>
      <w:r w:rsidRPr="00FF4196">
        <w:rPr>
          <w:lang w:val="en-US"/>
        </w:rPr>
        <w:t>            The influence of ether fraction of water-soluble extract of poplar leaves (Populus nigra L.) and nine phenolic acids (cinnamic and benzoic acids derivatives) on human mononuclear (MNL) leukocytes angiogenic activity was studied. Ether fraction, containing mainly phenolic acids, increased cutaneous angiogenesis induced in mice by human MNL isolated from the blood of healthy donors. Increase of angiogenic activity was also observed in case of caffeic, gallic, salicylic, ferulic and gentisic acids. Isovanillic, protocatechuic and p-hydroxybenzoic acids did not influence this parameter.</w:t>
      </w:r>
    </w:p>
    <w:p w14:paraId="76F002A8" w14:textId="77777777" w:rsidR="00E56A40" w:rsidRPr="00FF4196" w:rsidRDefault="00E56A40" w:rsidP="00E56A40">
      <w:pPr>
        <w:pStyle w:val="endnotebibliography"/>
        <w:rPr>
          <w:lang w:val="en-US"/>
        </w:rPr>
      </w:pPr>
      <w:r w:rsidRPr="00FF4196">
        <w:rPr>
          <w:lang w:val="en-US"/>
        </w:rPr>
        <w:t> </w:t>
      </w:r>
    </w:p>
    <w:p w14:paraId="70A2DDA4" w14:textId="77777777" w:rsidR="00E56A40" w:rsidRPr="00FF4196" w:rsidRDefault="00E56A40" w:rsidP="00E56A40">
      <w:pPr>
        <w:pStyle w:val="endnotebibliography"/>
        <w:rPr>
          <w:lang w:val="en-US"/>
        </w:rPr>
      </w:pPr>
      <w:r w:rsidRPr="00FF4196">
        <w:rPr>
          <w:lang w:val="en-US"/>
        </w:rPr>
        <w:lastRenderedPageBreak/>
        <w:t xml:space="preserve">Habtemariam, S. and A. M. Macpherson (2000). "Cytotoxicity and antibacterial activity of ethanol extract from leaves of a herbal drug, boneset (Eupatorium perfoliatum)." </w:t>
      </w:r>
      <w:r w:rsidRPr="00FF4196">
        <w:rPr>
          <w:u w:val="single"/>
          <w:lang w:val="en-US"/>
        </w:rPr>
        <w:t>Phytother Res</w:t>
      </w:r>
      <w:r w:rsidRPr="00FF4196">
        <w:rPr>
          <w:lang w:val="en-US"/>
        </w:rPr>
        <w:t xml:space="preserve"> </w:t>
      </w:r>
      <w:r w:rsidRPr="00FF4196">
        <w:rPr>
          <w:rStyle w:val="Pogrubienie"/>
          <w:lang w:val="en-US"/>
        </w:rPr>
        <w:t>14</w:t>
      </w:r>
      <w:r w:rsidRPr="00FF4196">
        <w:rPr>
          <w:lang w:val="en-US"/>
        </w:rPr>
        <w:t>(7): 575-577.</w:t>
      </w:r>
    </w:p>
    <w:p w14:paraId="331DCB19" w14:textId="77777777" w:rsidR="00E56A40" w:rsidRPr="00FF4196" w:rsidRDefault="00E56A40" w:rsidP="00E56A40">
      <w:pPr>
        <w:pStyle w:val="endnotebibliography"/>
        <w:rPr>
          <w:lang w:val="en-US"/>
        </w:rPr>
      </w:pPr>
      <w:r w:rsidRPr="00FF4196">
        <w:rPr>
          <w:lang w:val="en-US"/>
        </w:rPr>
        <w:t>            The cytotoxic and antibacterial activity of an ethanol extract of leaves of a herbal drug, boneset (Eupatorium perfoliatum), was investigated. The extract showed potent cytotoxicity with EC(50) values (12-14 microg/mL) comparable to a standard cytotoxic agent, chlorambucil. The extract showed a weak antibacterial activity against gram-positive test organisms (Staphylococcus aureus and Bacillus megaterium).</w:t>
      </w:r>
    </w:p>
    <w:p w14:paraId="190554ED" w14:textId="77777777" w:rsidR="00E56A40" w:rsidRPr="00FF4196" w:rsidRDefault="00E56A40" w:rsidP="00E56A40">
      <w:pPr>
        <w:pStyle w:val="endnotebibliography"/>
        <w:rPr>
          <w:lang w:val="en-US"/>
        </w:rPr>
      </w:pPr>
      <w:r w:rsidRPr="00FF4196">
        <w:rPr>
          <w:lang w:val="en-US"/>
        </w:rPr>
        <w:t> </w:t>
      </w:r>
    </w:p>
    <w:p w14:paraId="7C97CF93" w14:textId="77777777" w:rsidR="00E56A40" w:rsidRPr="00FF4196" w:rsidRDefault="00E56A40" w:rsidP="00E56A40">
      <w:pPr>
        <w:pStyle w:val="endnotebibliography"/>
        <w:rPr>
          <w:lang w:val="en-US"/>
        </w:rPr>
      </w:pPr>
      <w:r w:rsidRPr="00FF4196">
        <w:rPr>
          <w:lang w:val="en-US"/>
        </w:rPr>
        <w:t xml:space="preserve">Hamada, K., et al. (2004). "4-Coumarate:coenzyme A ligase in black locust (Robinia pseudoacacia) catalyses the conversion of sinapate to sinapoyl-CoA." </w:t>
      </w:r>
      <w:r w:rsidRPr="00FF4196">
        <w:rPr>
          <w:u w:val="single"/>
          <w:lang w:val="en-US"/>
        </w:rPr>
        <w:t>J Plant Res</w:t>
      </w:r>
      <w:r w:rsidRPr="00FF4196">
        <w:rPr>
          <w:lang w:val="en-US"/>
        </w:rPr>
        <w:t xml:space="preserve"> </w:t>
      </w:r>
      <w:r w:rsidRPr="00FF4196">
        <w:rPr>
          <w:rStyle w:val="Pogrubienie"/>
          <w:lang w:val="en-US"/>
        </w:rPr>
        <w:t>117</w:t>
      </w:r>
      <w:r w:rsidRPr="00FF4196">
        <w:rPr>
          <w:lang w:val="en-US"/>
        </w:rPr>
        <w:t>(4): 303-310.</w:t>
      </w:r>
    </w:p>
    <w:p w14:paraId="6703458B" w14:textId="77777777" w:rsidR="00E56A40" w:rsidRPr="00FF4196" w:rsidRDefault="00E56A40" w:rsidP="00E56A40">
      <w:pPr>
        <w:pStyle w:val="endnotebibliography"/>
        <w:rPr>
          <w:lang w:val="en-US"/>
        </w:rPr>
      </w:pPr>
      <w:r w:rsidRPr="00FF4196">
        <w:rPr>
          <w:lang w:val="en-US"/>
        </w:rPr>
        <w:t>            4-Coumarate:coenzyme A (CoA) ligase (4CL, EC 6.2.1.12) in crude enzyme preparation from the developing xylem of black locust (Robinia pseudoacacia) converted sinapate to sinapoyl CoA. The sinapate-converting activity was not inhibited by other cinnamate derivatives, such as p-coumarate, caffeate or ferulate, in the mixed-substrate assay. The crude extract prepared from the developing xylem was separated by anion-exchange chromatography into three different 4CL isoforms. The isoform 4CL1 had a strong substrate preference for p-coumarate, but lacked the activity for ferulate and sinapate. On the other hand, 4CL2 and 4CL3 displayed activity toward sinapate and also possessed high activity toward caffeate as well as p-coumarate. The crude extract from the shoots exhibited a very similar substrate preference to that of the developing xylem; therefore, 4CL2 may be a major isoform in both crude enzyme preparations. These results support the hypothesis that sinapate-converting 4CL isoform is constitutively expressed in lignin-forming cells.</w:t>
      </w:r>
    </w:p>
    <w:p w14:paraId="038FCB2E" w14:textId="77777777" w:rsidR="00E56A40" w:rsidRPr="00FF4196" w:rsidRDefault="00E56A40" w:rsidP="00E56A40">
      <w:pPr>
        <w:pStyle w:val="endnotebibliography"/>
        <w:rPr>
          <w:lang w:val="en-US"/>
        </w:rPr>
      </w:pPr>
      <w:r w:rsidRPr="00FF4196">
        <w:rPr>
          <w:lang w:val="en-US"/>
        </w:rPr>
        <w:t> </w:t>
      </w:r>
    </w:p>
    <w:p w14:paraId="3E72437B" w14:textId="77777777" w:rsidR="00E56A40" w:rsidRPr="00FF4196" w:rsidRDefault="00E56A40" w:rsidP="00E56A40">
      <w:pPr>
        <w:pStyle w:val="endnotebibliography"/>
        <w:rPr>
          <w:lang w:val="en-US"/>
        </w:rPr>
      </w:pPr>
      <w:r w:rsidRPr="00FF4196">
        <w:rPr>
          <w:lang w:val="en-US"/>
        </w:rPr>
        <w:t xml:space="preserve">Hammer, D. and C. Keller (2002). "Changes in the rhizosphere of metal-accumulating plants evidenced by chemical extractants." </w:t>
      </w:r>
      <w:r w:rsidRPr="00FF4196">
        <w:rPr>
          <w:u w:val="single"/>
          <w:lang w:val="en-US"/>
        </w:rPr>
        <w:t>J Environ Qual</w:t>
      </w:r>
      <w:r w:rsidRPr="00FF4196">
        <w:rPr>
          <w:lang w:val="en-US"/>
        </w:rPr>
        <w:t xml:space="preserve"> </w:t>
      </w:r>
      <w:r w:rsidRPr="00FF4196">
        <w:rPr>
          <w:rStyle w:val="Pogrubienie"/>
          <w:lang w:val="en-US"/>
        </w:rPr>
        <w:t>31</w:t>
      </w:r>
      <w:r w:rsidRPr="00FF4196">
        <w:rPr>
          <w:lang w:val="en-US"/>
        </w:rPr>
        <w:t>(5): 1561-1569.</w:t>
      </w:r>
    </w:p>
    <w:p w14:paraId="4093A01F" w14:textId="77777777" w:rsidR="00E56A40" w:rsidRPr="00FF4196" w:rsidRDefault="00E56A40" w:rsidP="00E56A40">
      <w:pPr>
        <w:pStyle w:val="endnotebibliography"/>
        <w:rPr>
          <w:lang w:val="en-US"/>
        </w:rPr>
      </w:pPr>
      <w:r w:rsidRPr="00FF4196">
        <w:rPr>
          <w:lang w:val="en-US"/>
        </w:rPr>
        <w:t xml:space="preserve">            The plants Salix viminalis L. (common osier) and Thlaspi caerulescens J. Presl &amp; C. Presl have been studied often because of their high potential to extract heavy metals from soils. The soil properties favoring this phytoextraction are not yet fully known. In this study we compared three frequently used single-extracting agents (NaNO3, diethylenetriaminepentaacetic acid [DTPA], and ethylenediaminetetra-acetic acid [EDTA]) with a sequential extraction procedure to describe changes in the different Cd, Cu, and Zn pools in the rhizosphere of S. viminalis and T. caerulescens grown on calcareous and acidic Swiss soils in a pot experiment. The sequential extraction was used to assess the chemical affinities of these heavy metals (HM) in the soil whereas the single extractants were used for estimating the bioavailable HM pools in the soils. Cadmium depletion in several pools was most apparent in the acidic soil, with a significant decrease observed in the NaNO3-, DTPA-, and EDTA-extractable fractions following T. caerulescens growth compared with control pots. The sequential extraction showed that most Cd extracted by the plant from the acidic soil originated from the organic pool, which implies that heavy metals bound to organic matter may constitute a significant part of the bioavailable Cd pool in soils. In the calcareous soil only a small amount of Cd was taken up by T. caerulescens, and this came mainly from </w:t>
      </w:r>
      <w:r w:rsidRPr="00FF4196">
        <w:rPr>
          <w:lang w:val="en-US"/>
        </w:rPr>
        <w:lastRenderedPageBreak/>
        <w:t>the carbonate-bound fraction. This study shows that T. caerulescens, and to a lesser extent S. viminalis, can alter the heavy metal distribution in different soil pools within 90 d.</w:t>
      </w:r>
    </w:p>
    <w:p w14:paraId="7A72A850" w14:textId="77777777" w:rsidR="00E56A40" w:rsidRPr="00FF4196" w:rsidRDefault="00E56A40" w:rsidP="00E56A40">
      <w:pPr>
        <w:pStyle w:val="endnotebibliography"/>
        <w:rPr>
          <w:lang w:val="en-US"/>
        </w:rPr>
      </w:pPr>
      <w:r w:rsidRPr="00FF4196">
        <w:rPr>
          <w:lang w:val="en-US"/>
        </w:rPr>
        <w:t> </w:t>
      </w:r>
    </w:p>
    <w:p w14:paraId="1BB00A36" w14:textId="77777777" w:rsidR="00E56A40" w:rsidRPr="00FF4196" w:rsidRDefault="00E56A40" w:rsidP="00E56A40">
      <w:pPr>
        <w:pStyle w:val="endnotebibliography"/>
        <w:rPr>
          <w:lang w:val="en-US"/>
        </w:rPr>
      </w:pPr>
      <w:r w:rsidRPr="00FF4196">
        <w:rPr>
          <w:lang w:val="en-US"/>
        </w:rPr>
        <w:t xml:space="preserve">Havlik, J., et al. (2010). "Xanthine oxidase inhibitory properties of Czech medicinal plants." </w:t>
      </w:r>
      <w:r w:rsidRPr="00FF4196">
        <w:rPr>
          <w:u w:val="single"/>
          <w:lang w:val="en-US"/>
        </w:rPr>
        <w:t>J Ethnopharmacol</w:t>
      </w:r>
      <w:r w:rsidRPr="00FF4196">
        <w:rPr>
          <w:lang w:val="en-US"/>
        </w:rPr>
        <w:t xml:space="preserve"> </w:t>
      </w:r>
      <w:r w:rsidRPr="00FF4196">
        <w:rPr>
          <w:rStyle w:val="Pogrubienie"/>
          <w:lang w:val="en-US"/>
        </w:rPr>
        <w:t>132</w:t>
      </w:r>
      <w:r w:rsidRPr="00FF4196">
        <w:rPr>
          <w:lang w:val="en-US"/>
        </w:rPr>
        <w:t>(2): 461-465.</w:t>
      </w:r>
    </w:p>
    <w:p w14:paraId="4B848AEA" w14:textId="77777777" w:rsidR="00E56A40" w:rsidRPr="00FF4196" w:rsidRDefault="00E56A40" w:rsidP="00E56A40">
      <w:pPr>
        <w:pStyle w:val="endnotebibliography"/>
        <w:rPr>
          <w:lang w:val="en-US"/>
        </w:rPr>
      </w:pPr>
      <w:r w:rsidRPr="00FF4196">
        <w:rPr>
          <w:lang w:val="en-US"/>
        </w:rPr>
        <w:t>            AIM OF THE STUDY: To investigate in vitro xanthine oxidase inhibitory properties of plants traditionally used in Czech Republic and Central-East Europe region for gout, arthritis or rheumatism treatment. MATERIALS AND METHODS: Methylene chloride-methanolic and two ethanolic extracts of 27 plant species were screened for in vitro xanthine oxidase inhibitory activity using a spectrophotometric method. RESULTS: Around 50% of the species exhibited some degree of xanthine oxidase inhibitory properties at 200 mug/mL, showing a moderate correlation (r=0.59) with total phenol content. The most active were methylene chloride-methanolic extracts of Populus nigra and Betula pendula, with IC(50) of 8.3 and 25.9 mug/mL, respectively, followed by 80% ethanolic extract of Caryophyllus aromaticus and Hypericum perforatum, both under 50 mug/mL. CONCLUSIONS: Populus nigra and Betula pendula were identified as species with the highest xanthine oxidase inhibitory potential in our study. This correlates with the ethnobotanical data on their use in Central European folklore and provides the basis for further investigation on these plants.</w:t>
      </w:r>
    </w:p>
    <w:p w14:paraId="36D20FEB" w14:textId="77777777" w:rsidR="00E56A40" w:rsidRPr="00FF4196" w:rsidRDefault="00E56A40" w:rsidP="00E56A40">
      <w:pPr>
        <w:pStyle w:val="endnotebibliography"/>
        <w:rPr>
          <w:lang w:val="en-US"/>
        </w:rPr>
      </w:pPr>
      <w:r w:rsidRPr="00FF4196">
        <w:rPr>
          <w:lang w:val="en-US"/>
        </w:rPr>
        <w:t> </w:t>
      </w:r>
    </w:p>
    <w:p w14:paraId="33B98D34" w14:textId="77777777" w:rsidR="00E56A40" w:rsidRPr="00FF4196" w:rsidRDefault="00E56A40" w:rsidP="00E56A40">
      <w:pPr>
        <w:pStyle w:val="endnotebibliography"/>
        <w:rPr>
          <w:lang w:val="en-US"/>
        </w:rPr>
      </w:pPr>
      <w:r w:rsidRPr="00FF4196">
        <w:rPr>
          <w:lang w:val="en-US"/>
        </w:rPr>
        <w:t xml:space="preserve">Ilnicka, A., et al. (2014). "Biologically active constituents from Salix viminalis bio-oil and their protective activity against hydrogen peroxide-induced oxidative stress in Chinese hamster ovary cells." </w:t>
      </w:r>
      <w:r w:rsidRPr="00FF4196">
        <w:rPr>
          <w:u w:val="single"/>
          <w:lang w:val="en-US"/>
        </w:rPr>
        <w:t>Appl Biochem Biotechnol</w:t>
      </w:r>
      <w:r w:rsidRPr="00FF4196">
        <w:rPr>
          <w:lang w:val="en-US"/>
        </w:rPr>
        <w:t xml:space="preserve"> </w:t>
      </w:r>
      <w:r w:rsidRPr="00FF4196">
        <w:rPr>
          <w:rStyle w:val="Pogrubienie"/>
          <w:lang w:val="en-US"/>
        </w:rPr>
        <w:t>174</w:t>
      </w:r>
      <w:r w:rsidRPr="00FF4196">
        <w:rPr>
          <w:lang w:val="en-US"/>
        </w:rPr>
        <w:t>(6): 2153-2161.</w:t>
      </w:r>
    </w:p>
    <w:p w14:paraId="706ACDC4" w14:textId="77777777" w:rsidR="00E56A40" w:rsidRPr="00FF4196" w:rsidRDefault="00E56A40" w:rsidP="00E56A40">
      <w:pPr>
        <w:pStyle w:val="endnotebibliography"/>
        <w:rPr>
          <w:lang w:val="en-US"/>
        </w:rPr>
      </w:pPr>
      <w:r w:rsidRPr="00FF4196">
        <w:rPr>
          <w:lang w:val="en-US"/>
        </w:rPr>
        <w:t>            The protective antioxidative effect of the phenolic extract (PE) isolated from Salix viminalis pyrolysis derived bio-oil was shown in vitro on the Chinese hamster ovary (CHO) cells exposed to hydrogen peroxide (H2O2). Cells pretreated with 0.05 mug/ml PE after exposure to different concentrations of H2O2 (300-900 muM) showed up to 25 % higher viability than the unpretreated ones. The antioxidative effect of PE was also observed in a time-dependent manner. The results were confirmed by visual examination of the specimens using microscopy. Finally, superoxide dismutase (SOD) activity modulation was shown by SOD assay, designed to determine the activity of enzymes removing free radicals.</w:t>
      </w:r>
    </w:p>
    <w:p w14:paraId="4C64DC27" w14:textId="77777777" w:rsidR="00E56A40" w:rsidRPr="00FF4196" w:rsidRDefault="00E56A40" w:rsidP="00E56A40">
      <w:pPr>
        <w:pStyle w:val="endnotebibliography"/>
        <w:rPr>
          <w:lang w:val="en-US"/>
        </w:rPr>
      </w:pPr>
      <w:r w:rsidRPr="00FF4196">
        <w:rPr>
          <w:lang w:val="en-US"/>
        </w:rPr>
        <w:t> </w:t>
      </w:r>
    </w:p>
    <w:p w14:paraId="545E9910" w14:textId="77777777" w:rsidR="00E56A40" w:rsidRPr="00FF4196" w:rsidRDefault="00E56A40" w:rsidP="00E56A40">
      <w:pPr>
        <w:pStyle w:val="endnotebibliography"/>
        <w:rPr>
          <w:lang w:val="en-US"/>
        </w:rPr>
      </w:pPr>
      <w:r w:rsidRPr="00FF4196">
        <w:rPr>
          <w:lang w:val="en-US"/>
        </w:rPr>
        <w:t xml:space="preserve">Jeong, G., et al. (2017). "Effect of Miscanthus sinensis var. purpurascens flower extract on proliferation and molecular regulation in human dermal papilla cells and stressed C57BL/6 mice." </w:t>
      </w:r>
      <w:r w:rsidRPr="00FF4196">
        <w:rPr>
          <w:u w:val="single"/>
          <w:lang w:val="en-US"/>
        </w:rPr>
        <w:t>Chin J Integr Med</w:t>
      </w:r>
      <w:r w:rsidRPr="00FF4196">
        <w:rPr>
          <w:lang w:val="en-US"/>
        </w:rPr>
        <w:t>.</w:t>
      </w:r>
    </w:p>
    <w:p w14:paraId="4C22CCEF" w14:textId="77777777" w:rsidR="00E56A40" w:rsidRPr="00FF4196" w:rsidRDefault="00E56A40" w:rsidP="00E56A40">
      <w:pPr>
        <w:pStyle w:val="endnotebibliography"/>
        <w:rPr>
          <w:lang w:val="en-US"/>
        </w:rPr>
      </w:pPr>
      <w:r w:rsidRPr="00FF4196">
        <w:rPr>
          <w:lang w:val="en-US"/>
        </w:rPr>
        <w:t xml:space="preserve">            OBJECTIVES: To investigate the hair growth-promoting effect of Miscanthus sinensis var. purpurascens (MSP) flower extracton on in vitro and in vivo models. METHODS: MSP flower extract was extracted in 99.9% methanol and applied to examine the proliferation of human dermal papilla cells (hDPCs) in vitro at the dose of 3.92-62.50 mug/mL and hair growth of C57BL/6 mice in vivo at the dose of 1000 mug/mL. The expression of transforming growth factor beta1 (TGF-beta1), hepatocyte growth factor (HGF), beta-catenin, substance P was measured by relative quantitative realtime polymerase </w:t>
      </w:r>
      <w:r w:rsidRPr="00FF4196">
        <w:rPr>
          <w:lang w:val="en-US"/>
        </w:rPr>
        <w:lastRenderedPageBreak/>
        <w:t>chain reaction. Histopathological and immunohistochemical analysis were performed. RESULTS: MSP (7.81 mug/mL) down-regulated TGF-beta1 and up-regulated HGF and beta-catenin in hDPCs (P&lt;0.01). MSP (1000 mug/mL)-treated mice showed the earlier transition of hair follicles from the telogen to the anagen phase. The number of mast cells was lower in the MSP-treated mice than in other groups (P&lt;0.05 vs. NCS group). Substance P and TGF-beta1 were expressed in hair follicles and skin of the MSP group lower than that in negative control. Stem cell factor in hair follicles was up-regulated in the MSP-treated mice (P&lt;0.01). CONCLUSIONS: The MSP flflower extract may have hair growth-promotion activities.</w:t>
      </w:r>
    </w:p>
    <w:p w14:paraId="6E1CC9A8" w14:textId="77777777" w:rsidR="00E56A40" w:rsidRPr="00FF4196" w:rsidRDefault="00E56A40" w:rsidP="00E56A40">
      <w:pPr>
        <w:pStyle w:val="endnotebibliography"/>
        <w:rPr>
          <w:lang w:val="en-US"/>
        </w:rPr>
      </w:pPr>
      <w:r w:rsidRPr="00FF4196">
        <w:rPr>
          <w:lang w:val="en-US"/>
        </w:rPr>
        <w:t> </w:t>
      </w:r>
    </w:p>
    <w:p w14:paraId="61713441" w14:textId="77777777" w:rsidR="00E56A40" w:rsidRPr="00FF4196" w:rsidRDefault="00E56A40" w:rsidP="00E56A40">
      <w:pPr>
        <w:pStyle w:val="endnotebibliography"/>
        <w:rPr>
          <w:lang w:val="en-US"/>
        </w:rPr>
      </w:pPr>
      <w:r w:rsidRPr="00FF4196">
        <w:rPr>
          <w:lang w:val="en-US"/>
        </w:rPr>
        <w:t xml:space="preserve">Jurgenliemk, G., et al. (2007). "Flavan-3-ols and procyanidins from the bark of Salix purpurea L." </w:t>
      </w:r>
      <w:r w:rsidRPr="00FF4196">
        <w:rPr>
          <w:u w:val="single"/>
          <w:lang w:val="en-US"/>
        </w:rPr>
        <w:t>Pharmazie</w:t>
      </w:r>
      <w:r w:rsidRPr="00FF4196">
        <w:rPr>
          <w:lang w:val="en-US"/>
        </w:rPr>
        <w:t xml:space="preserve"> </w:t>
      </w:r>
      <w:r w:rsidRPr="00FF4196">
        <w:rPr>
          <w:rStyle w:val="Pogrubienie"/>
          <w:lang w:val="en-US"/>
        </w:rPr>
        <w:t>62</w:t>
      </w:r>
      <w:r w:rsidRPr="00FF4196">
        <w:rPr>
          <w:lang w:val="en-US"/>
        </w:rPr>
        <w:t>(3): 231-234.</w:t>
      </w:r>
    </w:p>
    <w:p w14:paraId="4EEE9620" w14:textId="77777777" w:rsidR="00E56A40" w:rsidRPr="00FF4196" w:rsidRDefault="00E56A40" w:rsidP="00E56A40">
      <w:pPr>
        <w:pStyle w:val="endnotebibliography"/>
        <w:rPr>
          <w:lang w:val="en-US"/>
        </w:rPr>
      </w:pPr>
      <w:r w:rsidRPr="00FF4196">
        <w:rPr>
          <w:lang w:val="en-US"/>
        </w:rPr>
        <w:t>            From a commercial aqueous ethanolic extract obtained from the bark of Salix purpurea L. the flavan-3-ols catechin, epicatechin, gallocatechin, catechin-3-O-(1-hydroxy-6-oxo-2-cyclohexene-1-carboxylic acid)-ester, the dimeric procyanidins B1, B3 and the trimeric procyanidins epicatechin-(4B--&gt;8)-catechin-(4alpha--&gt;8)-catechin and epicatechin-(4beta--&gt;8)-epicatechin-(4beta--&gt;8)-catechin were isolated. Structure elucidation was performed by NMR, CD, MS, degradation and optical rotation methods. A fraction containing higher oligomeric procyanidins was investigated by 13C NMR. Data indicate an average degree of oligomerization of 4 to 5 flavan-3-ol units with dihydroxylated B-rings and predominance of 2,3-cis-stereochemistry.</w:t>
      </w:r>
    </w:p>
    <w:p w14:paraId="320234C6" w14:textId="77777777" w:rsidR="00E56A40" w:rsidRPr="00FF4196" w:rsidRDefault="00E56A40" w:rsidP="00E56A40">
      <w:pPr>
        <w:pStyle w:val="endnotebibliography"/>
        <w:rPr>
          <w:lang w:val="en-US"/>
        </w:rPr>
      </w:pPr>
      <w:r w:rsidRPr="00FF4196">
        <w:rPr>
          <w:lang w:val="en-US"/>
        </w:rPr>
        <w:t> </w:t>
      </w:r>
    </w:p>
    <w:p w14:paraId="19AF6008" w14:textId="77777777" w:rsidR="00E56A40" w:rsidRPr="00FF4196" w:rsidRDefault="00E56A40" w:rsidP="00E56A40">
      <w:pPr>
        <w:pStyle w:val="endnotebibliography"/>
        <w:rPr>
          <w:lang w:val="en-US"/>
        </w:rPr>
      </w:pPr>
      <w:r w:rsidRPr="00FF4196">
        <w:rPr>
          <w:lang w:val="en-US"/>
        </w:rPr>
        <w:t xml:space="preserve">Kammerer, B., et al. (2005). "HPLC-MS/MS analysis of willow bark extracts contained in pharmaceutical preparations." </w:t>
      </w:r>
      <w:r w:rsidRPr="00FF4196">
        <w:rPr>
          <w:u w:val="single"/>
          <w:lang w:val="en-US"/>
        </w:rPr>
        <w:t>Phytochem Anal</w:t>
      </w:r>
      <w:r w:rsidRPr="00FF4196">
        <w:rPr>
          <w:lang w:val="en-US"/>
        </w:rPr>
        <w:t xml:space="preserve"> </w:t>
      </w:r>
      <w:r w:rsidRPr="00FF4196">
        <w:rPr>
          <w:rStyle w:val="Pogrubienie"/>
          <w:lang w:val="en-US"/>
        </w:rPr>
        <w:t>16</w:t>
      </w:r>
      <w:r w:rsidRPr="00FF4196">
        <w:rPr>
          <w:lang w:val="en-US"/>
        </w:rPr>
        <w:t>(6): 470-478.</w:t>
      </w:r>
    </w:p>
    <w:p w14:paraId="7803CD0C" w14:textId="77777777" w:rsidR="00E56A40" w:rsidRPr="00FF4196" w:rsidRDefault="00E56A40" w:rsidP="00E56A40">
      <w:pPr>
        <w:pStyle w:val="endnotebibliography"/>
        <w:rPr>
          <w:lang w:val="en-US"/>
        </w:rPr>
      </w:pPr>
      <w:r w:rsidRPr="00FF4196">
        <w:rPr>
          <w:lang w:val="en-US"/>
        </w:rPr>
        <w:t>            Preparations containing willow bark extract are popular herbal remedies, but they are mostly standardised with respect to only one compound (usually salicin). RP-HPLC using a C18-column eluted with water:methanol:tetrahydrofuran and coupled to electrospray triple-quadrupole MS and MS/MS was used for the characterisation of dried extracts of Salix spp. and for the identification of their constituents. Comparison with reference substances led to the identification of 13 compounds (saligenin, salicylic acid, salicin, isosalicin, picein, salidroside, triandrin, salicoylsalicin, salicortin, isosalipurposide, salipurposide, naringenin-7-O-glucoside and tremulacin). Two pharmaceutical preparations containing willow bark extract, used in clinical trials and labelled Salix daphnoides and S. purpurea x daphnoides extracts, were compared using the described method and exhibited several clear differences, the most prominent of which was the possible presence of picein in the former preparation. The described method may be utilised for the characterisation of herbal medicines in order to ensure comparability of medication in further clinical trials.</w:t>
      </w:r>
    </w:p>
    <w:p w14:paraId="44DE43C3" w14:textId="77777777" w:rsidR="00E56A40" w:rsidRPr="00FF4196" w:rsidRDefault="00E56A40" w:rsidP="00E56A40">
      <w:pPr>
        <w:pStyle w:val="endnotebibliography"/>
        <w:rPr>
          <w:lang w:val="en-US"/>
        </w:rPr>
      </w:pPr>
      <w:r w:rsidRPr="00FF4196">
        <w:rPr>
          <w:lang w:val="en-US"/>
        </w:rPr>
        <w:t> </w:t>
      </w:r>
    </w:p>
    <w:p w14:paraId="1DDA7A2A" w14:textId="77777777" w:rsidR="00E56A40" w:rsidRPr="00FF4196" w:rsidRDefault="00E56A40" w:rsidP="00E56A40">
      <w:pPr>
        <w:pStyle w:val="endnotebibliography"/>
        <w:rPr>
          <w:lang w:val="en-US"/>
        </w:rPr>
      </w:pPr>
      <w:r w:rsidRPr="00FF4196">
        <w:rPr>
          <w:lang w:val="en-US"/>
        </w:rPr>
        <w:t xml:space="preserve">Kamo, T., et al. (2012). "Quantification of canavanine, 2-aminoethanol, and cyanamide in Aphis craccivora and its host plants, Robinia pseudoacacia and Vicia angustifolia: effects of these compounds on larval survivorship of Harmonia axyridis." </w:t>
      </w:r>
      <w:r w:rsidRPr="00FF4196">
        <w:rPr>
          <w:u w:val="single"/>
          <w:lang w:val="en-US"/>
        </w:rPr>
        <w:t>J Chem Ecol</w:t>
      </w:r>
      <w:r w:rsidRPr="00FF4196">
        <w:rPr>
          <w:lang w:val="en-US"/>
        </w:rPr>
        <w:t xml:space="preserve"> </w:t>
      </w:r>
      <w:r w:rsidRPr="00FF4196">
        <w:rPr>
          <w:rStyle w:val="Pogrubienie"/>
          <w:lang w:val="en-US"/>
        </w:rPr>
        <w:t>38</w:t>
      </w:r>
      <w:r w:rsidRPr="00FF4196">
        <w:rPr>
          <w:lang w:val="en-US"/>
        </w:rPr>
        <w:t>(12): 1552-1560.</w:t>
      </w:r>
    </w:p>
    <w:p w14:paraId="618D6D6E" w14:textId="77777777" w:rsidR="00E56A40" w:rsidRPr="00FF4196" w:rsidRDefault="00E56A40" w:rsidP="00E56A40">
      <w:pPr>
        <w:pStyle w:val="endnotebibliography"/>
        <w:rPr>
          <w:lang w:val="en-US"/>
        </w:rPr>
      </w:pPr>
      <w:r w:rsidRPr="00FF4196">
        <w:rPr>
          <w:lang w:val="en-US"/>
        </w:rPr>
        <w:lastRenderedPageBreak/>
        <w:t>            The cowpea aphid Aphis craccivora that infests the black locust Robinia pseudoacacia shows toxicity to its predator, the multicolored Asian ladybird beetle, Harmonia axyridis. In contrast, the same aphid species that infests the common vetch, Vicia angustifolia, is suitable prey for H. axyridis larvae. Previously, it was reported that the toxicity of A. craccivora infesting R. pseudoacacia was due to canavanine and 2-aminoethanol, but there was some doubt about the toxicity of these compounds and their concentrations in the aphids. In the present study, we determined the concentrations of cyanamide, canavanine, and 2-aminoethanol in A. craccivora infesting the two host plants. In the extracts of A. craccivora that infested either of the host plants, canavanine was undetectable, and 2-aminoethanol was detected at the concentration of 3.0-4.0 mug/g fresh weight. Cyanamide was detected in the extract of A. craccivora that infested R. pseudoacacia (7.7 mug/g fresh weight) but not in that infesting V. angustifolia. The toxicity of canavanine, 2-aminoethanol, and cyanamide was evaluated against H. axyridis larvae in a bioassay by using an artificial diet containing these compounds at various concentrations. Cyanamide exhibited 10-100 times stronger toxicity than canavanine and 2-aminoethanol. These results indicate that the toxicity is at least partly due to cyanamide, which is present in the toxic A. craccivora that infests R. pseudoacacia but absent from the non-toxic A. craccivora that infests V. angustifolia.</w:t>
      </w:r>
    </w:p>
    <w:p w14:paraId="09ABFC71" w14:textId="77777777" w:rsidR="00E56A40" w:rsidRPr="00FF4196" w:rsidRDefault="00E56A40" w:rsidP="00E56A40">
      <w:pPr>
        <w:pStyle w:val="endnotebibliography"/>
        <w:rPr>
          <w:lang w:val="en-US"/>
        </w:rPr>
      </w:pPr>
      <w:r w:rsidRPr="00FF4196">
        <w:rPr>
          <w:lang w:val="en-US"/>
        </w:rPr>
        <w:t> </w:t>
      </w:r>
    </w:p>
    <w:p w14:paraId="2600289C" w14:textId="77777777" w:rsidR="00E56A40" w:rsidRPr="00FF4196" w:rsidRDefault="00E56A40" w:rsidP="00E56A40">
      <w:pPr>
        <w:pStyle w:val="endnotebibliography"/>
        <w:rPr>
          <w:lang w:val="en-US"/>
        </w:rPr>
      </w:pPr>
      <w:r w:rsidRPr="00FF4196">
        <w:rPr>
          <w:lang w:val="en-US"/>
        </w:rPr>
        <w:t xml:space="preserve">Katiki, L. M., et al. (2013). "Anthelmintic effect of plant extracts containing condensed and hydrolyzable tannins on Caenorhabditis elegans, and their antioxidant capacity." </w:t>
      </w:r>
      <w:r w:rsidRPr="00FF4196">
        <w:rPr>
          <w:u w:val="single"/>
          <w:lang w:val="en-US"/>
        </w:rPr>
        <w:t>Vet Parasitol</w:t>
      </w:r>
      <w:r w:rsidRPr="00FF4196">
        <w:rPr>
          <w:lang w:val="en-US"/>
        </w:rPr>
        <w:t xml:space="preserve"> </w:t>
      </w:r>
      <w:r w:rsidRPr="00FF4196">
        <w:rPr>
          <w:rStyle w:val="Pogrubienie"/>
          <w:lang w:val="en-US"/>
        </w:rPr>
        <w:t>192</w:t>
      </w:r>
      <w:r w:rsidRPr="00FF4196">
        <w:rPr>
          <w:lang w:val="en-US"/>
        </w:rPr>
        <w:t>(1-3): 218-227.</w:t>
      </w:r>
    </w:p>
    <w:p w14:paraId="6F22ACEE" w14:textId="77777777" w:rsidR="00E56A40" w:rsidRPr="00FF4196" w:rsidRDefault="00E56A40" w:rsidP="00E56A40">
      <w:pPr>
        <w:pStyle w:val="endnotebibliography"/>
        <w:rPr>
          <w:lang w:val="en-US"/>
        </w:rPr>
      </w:pPr>
      <w:r w:rsidRPr="00FF4196">
        <w:rPr>
          <w:lang w:val="en-US"/>
        </w:rPr>
        <w:t xml:space="preserve">            Although tannin-rich forages are known to increase protein uptake and to reduce gastrointestinal nematode infections in grazing ruminants, most published research involves forages with condensed tannins (CT), while published literature lacks information on the anthelmintic capacity, nutritional benefits, and antioxidant capacity of alternative forages containing hydrolyzable tannins (HT). We evaluated the anthelmintic activity and the antioxidant capacity of plant extracts containing either mostly CT, mostly HT, or both CT and HT. Extracts were prepared with 70% acetone, lyophilized, redissolved to doses ranging from 1.0mg/mL to 25mg/mL, and tested against adult Caenorhabditis elegans as a test model. The extract concentrations that killed 50% (LC(50)) or 90% (LC(90)) of the nematodes in 24h were determined and compared to the veterinary anthelmintic levamisole (8 mg/mL). Extracts were quantified for CT by the acid butanol assay, for HT (based on gallic acid and ellagic acid) by high-performance liquid chromatography (HPLC) and total phenolics, and for their antioxidant activity by the oxygen radical absorbance capacity (ORAC) assay. Extracts with mostly CT were Lespedeza cuneata, Salix X sepulcralis, and Robinia pseudoacacia. Extracts rich in HT were Acer rubrum, Rosa multiflora, and Quercus alba, while Rhus typhina had both HT and CT. The extracts with the lowest LC(50) and LC(90) concentrations, respectively, in the C. elegans assay were Q. alba (0.75 and 1.06 mg/mL), R. typhina collected in 2007 (0.65 and 2.74 mg/mL), A. rubrum (1.03 and 5.54 mg/mL), and R. multiflora (2.14 and 8.70 mg/mL). At the doses of 20 and 25mg/mL, HT-rich, or both CT- and HT-rich, extracts were significantly more lethal to adult C. elegans than extracts containing only CT. All extracts were high in antioxidant capacity, with ORAC values ranging from 1800 mumoles to 4651 mumoles of trolox equivalents/g, but ORAC did not correlate with anthelmintic activity. The total phenolics test had a positive and highly significant (r=0.826, p &lt;/= 0.01) correlation with total hydrolyzable tannins. Plants used in this research are naturalized to the Appalachian edaphoclimatic conditions, but occur in temperate climate areas worldwide. They represent a rich, renewable, and unexplored source </w:t>
      </w:r>
      <w:r w:rsidRPr="00FF4196">
        <w:rPr>
          <w:lang w:val="en-US"/>
        </w:rPr>
        <w:lastRenderedPageBreak/>
        <w:t>of tannins and antioxidants for grazing ruminants, whereas conventional CT-rich forages, such as L. cuneata, may be hard to establish and adapt to areas with temperate climate. Due to their high in vitro anthelmintic activity, antioxidant capacity, and their adaptability to non-arable lands, Q. alba, R. typhina, A. rubrum, and R. multiflora have a high potential to improve the health of grazing animals and must have their anthelmintic effects confirmed in vivo in both sheep and goats.</w:t>
      </w:r>
    </w:p>
    <w:p w14:paraId="20511283" w14:textId="77777777" w:rsidR="00E56A40" w:rsidRPr="00FF4196" w:rsidRDefault="00E56A40" w:rsidP="00E56A40">
      <w:pPr>
        <w:pStyle w:val="endnotebibliography"/>
        <w:rPr>
          <w:lang w:val="en-US"/>
        </w:rPr>
      </w:pPr>
      <w:r w:rsidRPr="00FF4196">
        <w:rPr>
          <w:lang w:val="en-US"/>
        </w:rPr>
        <w:t> </w:t>
      </w:r>
    </w:p>
    <w:p w14:paraId="613FDC5E" w14:textId="77777777" w:rsidR="00E56A40" w:rsidRPr="00FF4196" w:rsidRDefault="00E56A40" w:rsidP="00E56A40">
      <w:pPr>
        <w:pStyle w:val="endnotebibliography"/>
        <w:rPr>
          <w:lang w:val="en-US"/>
        </w:rPr>
      </w:pPr>
      <w:r w:rsidRPr="00FF4196">
        <w:rPr>
          <w:lang w:val="en-US"/>
        </w:rPr>
        <w:t xml:space="preserve">Kauss, H. and H. Ziegler (1974). "Carbohydrate-binding proteins from the sieve-tube sap of Robinia pseudoacacia L." </w:t>
      </w:r>
      <w:r w:rsidRPr="00FF4196">
        <w:rPr>
          <w:u w:val="single"/>
          <w:lang w:val="en-US"/>
        </w:rPr>
        <w:t>Planta</w:t>
      </w:r>
      <w:r w:rsidRPr="00FF4196">
        <w:rPr>
          <w:lang w:val="en-US"/>
        </w:rPr>
        <w:t xml:space="preserve"> </w:t>
      </w:r>
      <w:r w:rsidRPr="00FF4196">
        <w:rPr>
          <w:rStyle w:val="Pogrubienie"/>
          <w:lang w:val="en-US"/>
        </w:rPr>
        <w:t>121</w:t>
      </w:r>
      <w:r w:rsidRPr="00FF4196">
        <w:rPr>
          <w:lang w:val="en-US"/>
        </w:rPr>
        <w:t>(2): 197-200.</w:t>
      </w:r>
    </w:p>
    <w:p w14:paraId="69F5E580" w14:textId="77777777" w:rsidR="00E56A40" w:rsidRPr="00FF4196" w:rsidRDefault="00E56A40" w:rsidP="00E56A40">
      <w:pPr>
        <w:pStyle w:val="endnotebibliography"/>
        <w:rPr>
          <w:lang w:val="en-US"/>
        </w:rPr>
      </w:pPr>
      <w:r w:rsidRPr="00FF4196">
        <w:rPr>
          <w:lang w:val="en-US"/>
        </w:rPr>
        <w:t>            Evidence is provided for the occurrence of lectins (phytohemagglutinins) in the sieve-tube sap of Robinia pseudoacacia L. The most potent sugars found to inhibit the complex formation of the soluble protein with rabbit erythrocytes were N-acetyl-galactosamine and glycosides containing galactose. Sucrose and inositol had weaker effects. The extract of the membraneous material present in the sieve-tube sap also contains lectins, but the sugar specifity is different.</w:t>
      </w:r>
    </w:p>
    <w:p w14:paraId="19725A29" w14:textId="77777777" w:rsidR="00E56A40" w:rsidRPr="00FF4196" w:rsidRDefault="00E56A40" w:rsidP="00E56A40">
      <w:pPr>
        <w:pStyle w:val="endnotebibliography"/>
        <w:rPr>
          <w:lang w:val="en-US"/>
        </w:rPr>
      </w:pPr>
      <w:r w:rsidRPr="00FF4196">
        <w:rPr>
          <w:lang w:val="en-US"/>
        </w:rPr>
        <w:t> </w:t>
      </w:r>
    </w:p>
    <w:p w14:paraId="52F997A2" w14:textId="77777777" w:rsidR="00E56A40" w:rsidRPr="00FF4196" w:rsidRDefault="00E56A40" w:rsidP="00E56A40">
      <w:pPr>
        <w:pStyle w:val="endnotebibliography"/>
        <w:rPr>
          <w:lang w:val="en-US"/>
        </w:rPr>
      </w:pPr>
      <w:r w:rsidRPr="00FF4196">
        <w:rPr>
          <w:lang w:val="en-US"/>
        </w:rPr>
        <w:t xml:space="preserve">Kim, T., et al. (2012). "Total synthesis and dual PPARalpha/gamma agonist effects of amorphastilbol and its synthetic derivatives." </w:t>
      </w:r>
      <w:r w:rsidRPr="00FF4196">
        <w:rPr>
          <w:u w:val="single"/>
          <w:lang w:val="en-US"/>
        </w:rPr>
        <w:t>Bioorg Med Chem Lett</w:t>
      </w:r>
      <w:r w:rsidRPr="00FF4196">
        <w:rPr>
          <w:lang w:val="en-US"/>
        </w:rPr>
        <w:t xml:space="preserve"> </w:t>
      </w:r>
      <w:r w:rsidRPr="00FF4196">
        <w:rPr>
          <w:rStyle w:val="Pogrubienie"/>
          <w:lang w:val="en-US"/>
        </w:rPr>
        <w:t>22</w:t>
      </w:r>
      <w:r w:rsidRPr="00FF4196">
        <w:rPr>
          <w:lang w:val="en-US"/>
        </w:rPr>
        <w:t>(12): 4122-4126.</w:t>
      </w:r>
    </w:p>
    <w:p w14:paraId="4C3AF94B" w14:textId="77777777" w:rsidR="00E56A40" w:rsidRPr="00FF4196" w:rsidRDefault="00E56A40" w:rsidP="00E56A40">
      <w:pPr>
        <w:pStyle w:val="endnotebibliography"/>
        <w:rPr>
          <w:lang w:val="en-US"/>
        </w:rPr>
      </w:pPr>
      <w:r w:rsidRPr="00FF4196">
        <w:rPr>
          <w:lang w:val="en-US"/>
        </w:rPr>
        <w:t>            Amorphastilbol (APH-1), isolated from a Robinia pseudoacacia var. umbraculifer [corrected] seed extract, is a biologically interesting natural trans-stilbene compound with dual peroxisome proliferator-activated receptor (PPAR) alpha/gamma agonist activity. After total synthesis of APH-1 and its derivatives by Pd-catalyzed Suzuki-Miyaura cross-coupling of a common (E)-styryl bromide intermediate and various aromatic trifluoroborate compounds, we biologically evaluated APH-2-APH-12 for PPAR agonist activity. APH-4 and APH-11 were effective PPARalpha/gamma transcriptional activators, compared with APH-1. Therefore, we suggest that APH-4 and APH-11 are novel dual PPARalpha/gamma agonists and are potentially useful for treating type 2 diabetes by enhancing glucose and lipid metabolism.</w:t>
      </w:r>
    </w:p>
    <w:p w14:paraId="0D7A8B1D" w14:textId="77777777" w:rsidR="00E56A40" w:rsidRPr="00FF4196" w:rsidRDefault="00E56A40" w:rsidP="00E56A40">
      <w:pPr>
        <w:pStyle w:val="endnotebibliography"/>
        <w:rPr>
          <w:lang w:val="en-US"/>
        </w:rPr>
      </w:pPr>
      <w:r w:rsidRPr="00FF4196">
        <w:rPr>
          <w:lang w:val="en-US"/>
        </w:rPr>
        <w:t> </w:t>
      </w:r>
    </w:p>
    <w:p w14:paraId="31379B59" w14:textId="77777777" w:rsidR="00E56A40" w:rsidRPr="00FF4196" w:rsidRDefault="00E56A40" w:rsidP="00E56A40">
      <w:pPr>
        <w:pStyle w:val="endnotebibliography"/>
        <w:rPr>
          <w:lang w:val="en-US"/>
        </w:rPr>
      </w:pPr>
      <w:r w:rsidRPr="00FF4196">
        <w:rPr>
          <w:lang w:val="en-US"/>
        </w:rPr>
        <w:t xml:space="preserve">Komoda, Y. (1989). "Isolation of flavonoids from Populus nigra as delta 4-3-ketosteroid (5 alpha) reductase inhibitors." </w:t>
      </w:r>
      <w:r w:rsidRPr="00FF4196">
        <w:rPr>
          <w:u w:val="single"/>
          <w:lang w:val="en-US"/>
        </w:rPr>
        <w:t>Chem Pharm Bull (Tokyo)</w:t>
      </w:r>
      <w:r w:rsidRPr="00FF4196">
        <w:rPr>
          <w:lang w:val="en-US"/>
        </w:rPr>
        <w:t xml:space="preserve"> </w:t>
      </w:r>
      <w:r w:rsidRPr="00FF4196">
        <w:rPr>
          <w:rStyle w:val="Pogrubienie"/>
          <w:lang w:val="en-US"/>
        </w:rPr>
        <w:t>37</w:t>
      </w:r>
      <w:r w:rsidRPr="00FF4196">
        <w:rPr>
          <w:lang w:val="en-US"/>
        </w:rPr>
        <w:t>(11): 3128-3130.</w:t>
      </w:r>
    </w:p>
    <w:p w14:paraId="3D4F6792" w14:textId="77777777" w:rsidR="00E56A40" w:rsidRPr="00FF4196" w:rsidRDefault="00E56A40" w:rsidP="00E56A40">
      <w:pPr>
        <w:pStyle w:val="endnotebibliography"/>
        <w:rPr>
          <w:lang w:val="en-US"/>
        </w:rPr>
      </w:pPr>
      <w:r w:rsidRPr="00FF4196">
        <w:rPr>
          <w:lang w:val="en-US"/>
        </w:rPr>
        <w:t>            Inhibitors of delta 4-3-ketosteroid (5 alpha) reductase, which had been prepared from rat prostate and converted testosterone to 5 alpha-dihydrotestosterone and 4-androstene-3,17-dione, were isolated from 50% ethanol extract of Populus nigra. They were identified as pinobanksin (I, 3,5,7-trihydroxyflavanone), 3,7-dimethylquercetin (II, 3',4',5-trihydroxy-3,7-dimethoxyflavone) and pinocembrin (III, 5,7-dihydroxyflavanone). Compound III showed the most potent inhibitory activity among them.</w:t>
      </w:r>
    </w:p>
    <w:p w14:paraId="2A451565" w14:textId="77777777" w:rsidR="00E56A40" w:rsidRPr="00FF4196" w:rsidRDefault="00E56A40" w:rsidP="00E56A40">
      <w:pPr>
        <w:pStyle w:val="endnotebibliography"/>
        <w:rPr>
          <w:lang w:val="en-US"/>
        </w:rPr>
      </w:pPr>
      <w:r w:rsidRPr="00FF4196">
        <w:rPr>
          <w:lang w:val="en-US"/>
        </w:rPr>
        <w:t> </w:t>
      </w:r>
    </w:p>
    <w:p w14:paraId="375296DD" w14:textId="77777777" w:rsidR="00E56A40" w:rsidRPr="00FF4196" w:rsidRDefault="00E56A40" w:rsidP="00E56A40">
      <w:pPr>
        <w:pStyle w:val="endnotebibliography"/>
        <w:rPr>
          <w:lang w:val="en-US"/>
        </w:rPr>
      </w:pPr>
      <w:r w:rsidRPr="00FF4196">
        <w:rPr>
          <w:lang w:val="en-US"/>
        </w:rPr>
        <w:lastRenderedPageBreak/>
        <w:t xml:space="preserve">Kus, P., et al. (2018). "Extraction of bioactive phenolics from black poplar (Populus nigra L.) buds by supercritical CO2 and its optimization by response surface methodology." </w:t>
      </w:r>
      <w:r w:rsidRPr="00FF4196">
        <w:rPr>
          <w:u w:val="single"/>
          <w:lang w:val="en-US"/>
        </w:rPr>
        <w:t>J Pharm Biomed Anal</w:t>
      </w:r>
      <w:r w:rsidRPr="00FF4196">
        <w:rPr>
          <w:lang w:val="en-US"/>
        </w:rPr>
        <w:t xml:space="preserve"> </w:t>
      </w:r>
      <w:r w:rsidRPr="00FF4196">
        <w:rPr>
          <w:rStyle w:val="Pogrubienie"/>
          <w:lang w:val="en-US"/>
        </w:rPr>
        <w:t>152</w:t>
      </w:r>
      <w:r w:rsidRPr="00FF4196">
        <w:rPr>
          <w:lang w:val="en-US"/>
        </w:rPr>
        <w:t>: 128-136.</w:t>
      </w:r>
    </w:p>
    <w:p w14:paraId="76726796" w14:textId="77777777" w:rsidR="00E56A40" w:rsidRPr="00FF4196" w:rsidRDefault="00E56A40" w:rsidP="00E56A40">
      <w:pPr>
        <w:pStyle w:val="endnotebibliography"/>
        <w:rPr>
          <w:lang w:val="en-US"/>
        </w:rPr>
      </w:pPr>
      <w:r w:rsidRPr="00FF4196">
        <w:rPr>
          <w:lang w:val="en-US"/>
        </w:rPr>
        <w:t>            The scope of current study was to apply supercritical CO2 for extraction of black poplar buds (Populus nigra L.) and to optimize the extraction parameters (pressure and temperature) using response surface methodology aimed at maximum extraction yield, total phenolic content (TP), ferric reducing antioxidant power (FRAP) and individual amount of selected bioactive phenolics. The pressure and temperature influenced significantly the extract yield (0.38-10.28g/100g), TP content (21.62-31.09mug GAE/mg), FRAP capacity (0.30-0.48mumol Fe(2+)/mg), and the amounts of p-coumaric acid (0.33-1.52mug/mg), pinocembrin (20.99-47.24mug/mg) and galangin (4.04-10.25mug/mg). The extraction of pinostrobin (51.73-79.56mug/mg), pinobanksin (0.41-1.55mug/mg), and chrysin (0.97-2.03mug/mg) was significantly affected only by the operating pressure. Optimized extraction parameters (30MPa and 60 degrees C) allow to obtain higher yield and extracts enriched with bioactive phenolics.</w:t>
      </w:r>
    </w:p>
    <w:p w14:paraId="1DFCD463" w14:textId="77777777" w:rsidR="00E56A40" w:rsidRPr="00FF4196" w:rsidRDefault="00E56A40" w:rsidP="00E56A40">
      <w:pPr>
        <w:pStyle w:val="endnotebibliography"/>
        <w:rPr>
          <w:lang w:val="en-US"/>
        </w:rPr>
      </w:pPr>
      <w:r w:rsidRPr="00FF4196">
        <w:rPr>
          <w:lang w:val="en-US"/>
        </w:rPr>
        <w:t> </w:t>
      </w:r>
    </w:p>
    <w:p w14:paraId="076CAD37" w14:textId="77777777" w:rsidR="00E56A40" w:rsidRPr="00FF4196" w:rsidRDefault="00E56A40" w:rsidP="00E56A40">
      <w:pPr>
        <w:pStyle w:val="endnotebibliography"/>
        <w:rPr>
          <w:lang w:val="en-US"/>
        </w:rPr>
      </w:pPr>
      <w:r w:rsidRPr="00FF4196">
        <w:rPr>
          <w:lang w:val="en-US"/>
        </w:rPr>
        <w:t xml:space="preserve">Larondelle, Y., et al. (1989). "Fructose 2,6-bisphosphate hydrolyzing enzymes in higher plants." </w:t>
      </w:r>
      <w:r w:rsidRPr="00FF4196">
        <w:rPr>
          <w:u w:val="single"/>
          <w:lang w:val="en-US"/>
        </w:rPr>
        <w:t>Plant Physiol</w:t>
      </w:r>
      <w:r w:rsidRPr="00FF4196">
        <w:rPr>
          <w:lang w:val="en-US"/>
        </w:rPr>
        <w:t xml:space="preserve"> </w:t>
      </w:r>
      <w:r w:rsidRPr="00FF4196">
        <w:rPr>
          <w:rStyle w:val="Pogrubienie"/>
          <w:lang w:val="en-US"/>
        </w:rPr>
        <w:t>90</w:t>
      </w:r>
      <w:r w:rsidRPr="00FF4196">
        <w:rPr>
          <w:lang w:val="en-US"/>
        </w:rPr>
        <w:t>(3): 827-834.</w:t>
      </w:r>
    </w:p>
    <w:p w14:paraId="6F3DC2E3" w14:textId="77777777" w:rsidR="00E56A40" w:rsidRPr="00FF4196" w:rsidRDefault="00E56A40" w:rsidP="00E56A40">
      <w:pPr>
        <w:pStyle w:val="endnotebibliography"/>
        <w:rPr>
          <w:lang w:val="en-US"/>
        </w:rPr>
      </w:pPr>
      <w:r w:rsidRPr="00FF4196">
        <w:rPr>
          <w:lang w:val="en-US"/>
        </w:rPr>
        <w:t>            The phosphatases that hydrolyze fructose 2,6-bisphosphate in a crude spinach (Spinacia oleracea L.) leaf extract were separated by chromatography on blue Sepharose, into three fractions, referred to as phosphatases I, II, and III, which were further purified by various means. Phosphatase I hydrolyzed fructose 2,6-bisphosphate, with a K(m) value of 30 micromolar, to a mixture of fructose 2-phosphate (90%) and fructose 6-phosphate (10%). It acted on a wide range of substrates and had a maximal activity at acidic pH. Phosphatase II specifically recognized the osyl-link of phosphoric derivatives and had more affinity for the beta-anomeric form. Its apparent K(m) for fructose 2,6-bisphosphate was 30 micromolar. It most likely corresponded to the fructose-2,6-bisphosphatase described by F. D. Macdonald, Q. Chou, and B. B. Buchanan ([1987] Plant Physiol 85: 13-16). Phosphatase III copurified with phosphofructokinase 2 and corresponded to the specific, low-K(m) (24 nanomolar) fructose-2,6-bisphosphatase purified and characterized by Y. Larondelle, E. Mertens, E. Van Schaftingen, and H. G. Hers ([1986] Eur J Biochem 161: 351-357). Three similar types of phosphatases were present in a crude extract of Jerusalem artichoke (Helianthus tuberosus) tuber. The concentration of fructose 2,6-bisphosphate decreased at a maximal rate of 30 picomoles per minute and per gram of fresh tissue in slices of Jerusalem artichoke tuber, upon incubation in 50 millimolar mannose. This rate could be accounted for by the maximal extractable activity of the low-K(m) fructose-2,6-bisphosphatase. A new enzymic method for the synthesis of beta-glucose 1,6-bisphosphate from beta-glucose 1-phosphate and ATP is described.</w:t>
      </w:r>
    </w:p>
    <w:p w14:paraId="2F6A693D" w14:textId="77777777" w:rsidR="00E56A40" w:rsidRPr="00FF4196" w:rsidRDefault="00E56A40" w:rsidP="00E56A40">
      <w:pPr>
        <w:pStyle w:val="endnotebibliography"/>
        <w:rPr>
          <w:lang w:val="en-US"/>
        </w:rPr>
      </w:pPr>
      <w:r w:rsidRPr="00FF4196">
        <w:rPr>
          <w:lang w:val="en-US"/>
        </w:rPr>
        <w:t> </w:t>
      </w:r>
    </w:p>
    <w:p w14:paraId="20541CDB" w14:textId="77777777" w:rsidR="00E56A40" w:rsidRPr="00FF4196" w:rsidRDefault="00E56A40" w:rsidP="00E56A40">
      <w:pPr>
        <w:pStyle w:val="endnotebibliography"/>
        <w:rPr>
          <w:lang w:val="en-US"/>
        </w:rPr>
      </w:pPr>
      <w:r w:rsidRPr="00FF4196">
        <w:rPr>
          <w:lang w:val="en-US"/>
        </w:rPr>
        <w:t xml:space="preserve">Li, D., et al. (2014). "Analysis on active molecules in Populus nigra wood extractives by GC-MS." </w:t>
      </w:r>
      <w:r w:rsidRPr="00FF4196">
        <w:rPr>
          <w:u w:val="single"/>
          <w:lang w:val="en-US"/>
        </w:rPr>
        <w:t>Pak J Pharm Sci</w:t>
      </w:r>
      <w:r w:rsidRPr="00FF4196">
        <w:rPr>
          <w:lang w:val="en-US"/>
        </w:rPr>
        <w:t xml:space="preserve"> </w:t>
      </w:r>
      <w:r w:rsidRPr="00FF4196">
        <w:rPr>
          <w:rStyle w:val="Pogrubienie"/>
          <w:lang w:val="en-US"/>
        </w:rPr>
        <w:t>27</w:t>
      </w:r>
      <w:r w:rsidRPr="00FF4196">
        <w:rPr>
          <w:lang w:val="en-US"/>
        </w:rPr>
        <w:t>(6 Suppl): 2061-2065.</w:t>
      </w:r>
    </w:p>
    <w:p w14:paraId="55E3D347" w14:textId="77777777" w:rsidR="00E56A40" w:rsidRPr="00FF4196" w:rsidRDefault="00E56A40" w:rsidP="00E56A40">
      <w:pPr>
        <w:pStyle w:val="endnotebibliography"/>
        <w:rPr>
          <w:lang w:val="en-US"/>
        </w:rPr>
      </w:pPr>
      <w:r w:rsidRPr="00FF4196">
        <w:rPr>
          <w:lang w:val="en-US"/>
        </w:rPr>
        <w:t xml:space="preserve">            Populus nigra has been introduced and largely planted in China, and the waste wood was still abandoned. Therefore, the wood extractives of Populus nigra were studied to further </w:t>
      </w:r>
      <w:r w:rsidRPr="00FF4196">
        <w:rPr>
          <w:lang w:val="en-US"/>
        </w:rPr>
        <w:lastRenderedPageBreak/>
        <w:t>utilize the bio-resources. The result shown that the optimal extraction time of ethanol/methanol extraction, petroleum ether/acetic ether extraction, and benzene/alcohol extraction were 1h, 7h and 3h, respectively. Among sequential extractions, EPB extraction was the optimum extraction mode for the LR was 17.32%. The wood extractives included hexanedioic acid, bis(2-ethylhexyl) ester, phthalic acid derivatives, squalene, 3,3,7,11- tetramethyltricyclo [5.4.0.0(4,11)]undecan-1-ol, other rare drug and biomedical activities. The wood extractives of Populus nigra was fit to extract rare dibutyl phthalate and squalene.</w:t>
      </w:r>
    </w:p>
    <w:p w14:paraId="202D1CD7" w14:textId="77777777" w:rsidR="00E56A40" w:rsidRPr="00FF4196" w:rsidRDefault="00E56A40" w:rsidP="00E56A40">
      <w:pPr>
        <w:pStyle w:val="endnotebibliography"/>
        <w:rPr>
          <w:lang w:val="en-US"/>
        </w:rPr>
      </w:pPr>
      <w:r w:rsidRPr="00FF4196">
        <w:rPr>
          <w:lang w:val="en-US"/>
        </w:rPr>
        <w:t> </w:t>
      </w:r>
    </w:p>
    <w:p w14:paraId="7DB839F8" w14:textId="77777777" w:rsidR="00E56A40" w:rsidRPr="00FF4196" w:rsidRDefault="00E56A40" w:rsidP="00E56A40">
      <w:pPr>
        <w:pStyle w:val="endnotebibliography"/>
        <w:rPr>
          <w:lang w:val="en-US"/>
        </w:rPr>
      </w:pPr>
      <w:r w:rsidRPr="00FF4196">
        <w:rPr>
          <w:lang w:val="en-US"/>
        </w:rPr>
        <w:t xml:space="preserve">Li, M., et al. (2016). "Alkali-based pretreatments distinctively extract lignin and pectin for enhancing biomass saccharification by altering cellulose features in sugar-rich Jerusalem artichoke stem." </w:t>
      </w:r>
      <w:r w:rsidRPr="00FF4196">
        <w:rPr>
          <w:u w:val="single"/>
          <w:lang w:val="en-US"/>
        </w:rPr>
        <w:t>Bioresour Technol</w:t>
      </w:r>
      <w:r w:rsidRPr="00FF4196">
        <w:rPr>
          <w:lang w:val="en-US"/>
        </w:rPr>
        <w:t xml:space="preserve"> </w:t>
      </w:r>
      <w:r w:rsidRPr="00FF4196">
        <w:rPr>
          <w:rStyle w:val="Pogrubienie"/>
          <w:lang w:val="en-US"/>
        </w:rPr>
        <w:t>208</w:t>
      </w:r>
      <w:r w:rsidRPr="00FF4196">
        <w:rPr>
          <w:lang w:val="en-US"/>
        </w:rPr>
        <w:t>: 31-41.</w:t>
      </w:r>
    </w:p>
    <w:p w14:paraId="1F94E571" w14:textId="77777777" w:rsidR="00E56A40" w:rsidRPr="00FF4196" w:rsidRDefault="00E56A40" w:rsidP="00E56A40">
      <w:pPr>
        <w:pStyle w:val="endnotebibliography"/>
        <w:rPr>
          <w:lang w:val="en-US"/>
        </w:rPr>
      </w:pPr>
      <w:r w:rsidRPr="00FF4196">
        <w:rPr>
          <w:lang w:val="en-US"/>
        </w:rPr>
        <w:t>            Jerusalem artichoke (JA) has been known as a potential nonfood feedstock for biofuels. Based on systems analysis of total 59 accessions, both soluble sugar and ash could positively affect biomass digestibility after dilute sodium hydroxide pretreatment (A). In this study, one representative accession (HEN-3) was used to illustrate its enzymatic digestibility with pretreatments of ultrasonic-assisted dilute sodium hydroxide (B), alkaline peroxide (C), and ultrasonic-assisted alkaline peroxide (D). Pretreatment D exhibited the highest hexose release rate (79.4%) and total sugar yield (10.4 g/L), which were 2.4 and 2.6 times higher, respectively, than those of the control. The analysis of cellulose crystalline index (CrI), cellulose degree of polymerization (DP), thermal behavior and SEM suggested that alkali-based pretreatments could distinctively extract lignin and pectin polymers, leading to significant alterations of cellulose CrI and DP for high biomass saccharification. Additionally, hydrogen peroxide (H2O2) could significant reduce the generation of fermentation inhibitors during alkali-based pretreatments.</w:t>
      </w:r>
    </w:p>
    <w:p w14:paraId="2E32EDC1" w14:textId="77777777" w:rsidR="00E56A40" w:rsidRPr="00FF4196" w:rsidRDefault="00E56A40" w:rsidP="00E56A40">
      <w:pPr>
        <w:pStyle w:val="endnotebibliography"/>
        <w:rPr>
          <w:lang w:val="en-US"/>
        </w:rPr>
      </w:pPr>
      <w:r w:rsidRPr="00FF4196">
        <w:rPr>
          <w:lang w:val="en-US"/>
        </w:rPr>
        <w:t> </w:t>
      </w:r>
    </w:p>
    <w:p w14:paraId="72D7C673" w14:textId="77777777" w:rsidR="00E56A40" w:rsidRPr="00FF4196" w:rsidRDefault="00E56A40" w:rsidP="00E56A40">
      <w:pPr>
        <w:pStyle w:val="endnotebibliography"/>
        <w:rPr>
          <w:lang w:val="en-US"/>
        </w:rPr>
      </w:pPr>
      <w:r w:rsidRPr="00FF4196">
        <w:rPr>
          <w:lang w:val="en-US"/>
        </w:rPr>
        <w:t xml:space="preserve">Liber, Y., et al. (2018). "Growth parameters influencing uptake of chlordecone by Miscanthus species." </w:t>
      </w:r>
      <w:r w:rsidRPr="00FF4196">
        <w:rPr>
          <w:u w:val="single"/>
          <w:lang w:val="en-US"/>
        </w:rPr>
        <w:t>Sci Total Environ</w:t>
      </w:r>
      <w:r w:rsidRPr="00FF4196">
        <w:rPr>
          <w:lang w:val="en-US"/>
        </w:rPr>
        <w:t xml:space="preserve"> </w:t>
      </w:r>
      <w:r w:rsidRPr="00FF4196">
        <w:rPr>
          <w:rStyle w:val="Pogrubienie"/>
          <w:lang w:val="en-US"/>
        </w:rPr>
        <w:t>624</w:t>
      </w:r>
      <w:r w:rsidRPr="00FF4196">
        <w:rPr>
          <w:lang w:val="en-US"/>
        </w:rPr>
        <w:t>: 831-837.</w:t>
      </w:r>
    </w:p>
    <w:p w14:paraId="5AE5129A" w14:textId="77777777" w:rsidR="00E56A40" w:rsidRPr="00FF4196" w:rsidRDefault="00E56A40" w:rsidP="00E56A40">
      <w:pPr>
        <w:pStyle w:val="endnotebibliography"/>
        <w:rPr>
          <w:lang w:val="en-US"/>
        </w:rPr>
      </w:pPr>
      <w:r w:rsidRPr="00FF4196">
        <w:rPr>
          <w:lang w:val="en-US"/>
        </w:rPr>
        <w:t xml:space="preserve">            Because of its high persistence in soils, t1/2=30years, chlordecone (CLD) was classified as a persistent organic pollutant (POP) by the Stockholm Convention in 2009.The distribution of CLD over time has been heterogeneous, ranging from banana plantations to watersheds, and contaminating all environmental compartments. The aims of this study were to (i) evaluate the potential of Miscanthus species to extract chlordecone from contaminated soils, (ii) identify the growth parameters that influence the transfer of CLD from the soil to aboveground plant parts. CLD uptake was investigated in two species of Miscanthus, C4 plants adapted to tropical climates. M. sinensis and M.xgiganteus were transplanted in a soil spiked with [(14)C]CLD at environmental concentrations (1mgkg(-1)) under controlled conditions. Root-shoot transfer of CLD was compared in the two species after two growing periods (2 then 6months) after transplantation. CLD was found in all plant organs, roots, rhizomes, stems, leaves, and even flower spikes. The highest concentration of CLD was in the roots, 5398+/-1636 (M.xgiganteus) and 14842+/-3210ngg(-1) DW (M. sinensis), whereas the concentration in shoots was lower, 152+/-28 (M.xgiganteus) and 266+/-70ngg(-1) DW (M. sinensis) in soil contaminated at 1mgkg(-1). CLD translocation led to an acropetal gradient from the bottom to the top of the plants. CLD concentrations were also monitored over two complete growing periods (10months) in M. sinensis grown in 8.05mgkg(-1) CLD </w:t>
      </w:r>
      <w:r w:rsidRPr="00FF4196">
        <w:rPr>
          <w:lang w:val="en-US"/>
        </w:rPr>
        <w:lastRenderedPageBreak/>
        <w:t>contaminated soils. Concentrations decreased in M. sinensis shoots after the second growth period due to the increase in organic matters in the vicinity of the roots. Results showed that, owing to their respective biomass production, the two species were equally efficient at phytoextraction of CLD.</w:t>
      </w:r>
    </w:p>
    <w:p w14:paraId="21077C48" w14:textId="77777777" w:rsidR="00E56A40" w:rsidRPr="00FF4196" w:rsidRDefault="00E56A40" w:rsidP="00E56A40">
      <w:pPr>
        <w:pStyle w:val="endnotebibliography"/>
        <w:rPr>
          <w:lang w:val="en-US"/>
        </w:rPr>
      </w:pPr>
      <w:r w:rsidRPr="00FF4196">
        <w:rPr>
          <w:lang w:val="en-US"/>
        </w:rPr>
        <w:t> </w:t>
      </w:r>
    </w:p>
    <w:p w14:paraId="3737A3EF" w14:textId="77777777" w:rsidR="00E56A40" w:rsidRPr="00FF4196" w:rsidRDefault="00E56A40" w:rsidP="00E56A40">
      <w:pPr>
        <w:pStyle w:val="endnotebibliography"/>
        <w:rPr>
          <w:lang w:val="en-US"/>
        </w:rPr>
      </w:pPr>
      <w:r w:rsidRPr="00FF4196">
        <w:rPr>
          <w:lang w:val="en-US"/>
        </w:rPr>
        <w:t xml:space="preserve">Loureiro, G., et al. (2005). "Aeroallergens sensitization in an allergic paediatric population of Cova da Beira, Portugal." </w:t>
      </w:r>
      <w:r w:rsidRPr="00FF4196">
        <w:rPr>
          <w:u w:val="single"/>
          <w:lang w:val="en-US"/>
        </w:rPr>
        <w:t>Allergol Immunopathol (Madr)</w:t>
      </w:r>
      <w:r w:rsidRPr="00FF4196">
        <w:rPr>
          <w:lang w:val="en-US"/>
        </w:rPr>
        <w:t xml:space="preserve"> </w:t>
      </w:r>
      <w:r w:rsidRPr="00FF4196">
        <w:rPr>
          <w:rStyle w:val="Pogrubienie"/>
          <w:lang w:val="en-US"/>
        </w:rPr>
        <w:t>33</w:t>
      </w:r>
      <w:r w:rsidRPr="00FF4196">
        <w:rPr>
          <w:lang w:val="en-US"/>
        </w:rPr>
        <w:t>(4): 192-198.</w:t>
      </w:r>
    </w:p>
    <w:p w14:paraId="6C98D021" w14:textId="77777777" w:rsidR="00E56A40" w:rsidRPr="00FF4196" w:rsidRDefault="00E56A40" w:rsidP="00E56A40">
      <w:pPr>
        <w:pStyle w:val="endnotebibliography"/>
        <w:rPr>
          <w:lang w:val="en-US"/>
        </w:rPr>
      </w:pPr>
      <w:r w:rsidRPr="00FF4196">
        <w:rPr>
          <w:lang w:val="en-US"/>
        </w:rPr>
        <w:t>            Cova da Beira is an interior central region of Portugal, with a population of 93,000 inhabitants. The first pollen counts performed in Portugal revealed the highest values of the country in this area. The aim of this study was to assess the aeroallergens sensitization in an allergic population, according to the age groups. In a 5 year period (1995-2000) 1790 consecutive outpatients were observed for suspected allergic symptoms. We included in this study all the 557 paediatric (&lt; or = 15 years old) observed patients (317 male (57%) and 240 female (43%) with an average age of 7.6 &lt; or = 4.2 years old). They were divided in three age groups (Group I: &lt; or = 5 yr; Group II: 6-10 yr; Group III: 11-15 yr). 371 patients were submitted to skin prick tests to aeroallergens. 86.5% of these patients were sensitised to at least one allergen extract. The most representative aeroallergens sensitization were grasses mixture (44.9%), D. pteronyssinus (32.5%), D. farinae (29.1%), Olea europea (27.5%), Parietaria judaica (23.4%), cat dander (16.1%), Artemisia vulgaris (17.6%), Robinia pseudoacacia (12.2%), Platanus acerifolia (11.4%), Tilia cordata (11.4%) moulds mixture (11.2%), Plantago lanceolata (10.6%), dog dander (10.4%), and Pinus radiata (7.5%). The sensitisation to indoor aeroallergens, was similar in all age groups and it was less important than that of pollens. The prevalence of sensitisation to grasses was the greatest in all ages and the house dust mites sensitization was the second most prevalent. The highest pollens counts in this region could explain the early sensitisation even in young children.</w:t>
      </w:r>
    </w:p>
    <w:p w14:paraId="3D7566B1" w14:textId="77777777" w:rsidR="00E56A40" w:rsidRPr="00FF4196" w:rsidRDefault="00E56A40" w:rsidP="00E56A40">
      <w:pPr>
        <w:pStyle w:val="endnotebibliography"/>
        <w:rPr>
          <w:lang w:val="en-US"/>
        </w:rPr>
      </w:pPr>
      <w:r w:rsidRPr="00FF4196">
        <w:rPr>
          <w:lang w:val="en-US"/>
        </w:rPr>
        <w:t> </w:t>
      </w:r>
    </w:p>
    <w:p w14:paraId="5BF172EF" w14:textId="77777777" w:rsidR="00E56A40" w:rsidRPr="00FF4196" w:rsidRDefault="00E56A40" w:rsidP="00E56A40">
      <w:pPr>
        <w:pStyle w:val="endnotebibliography"/>
        <w:rPr>
          <w:lang w:val="en-US"/>
        </w:rPr>
      </w:pPr>
      <w:r w:rsidRPr="00FF4196">
        <w:rPr>
          <w:lang w:val="en-US"/>
        </w:rPr>
        <w:t xml:space="preserve">Ma, C., et al. (2017). "Elicitation of Jerusalem artichoke (Helianthus tuberosus L.) cell suspension culture for enhancement of inulin production and altered degree of polymerisation." </w:t>
      </w:r>
      <w:r w:rsidRPr="00FF4196">
        <w:rPr>
          <w:u w:val="single"/>
          <w:lang w:val="en-US"/>
        </w:rPr>
        <w:t>J Sci Food Agric</w:t>
      </w:r>
      <w:r w:rsidRPr="00FF4196">
        <w:rPr>
          <w:lang w:val="en-US"/>
        </w:rPr>
        <w:t xml:space="preserve"> </w:t>
      </w:r>
      <w:r w:rsidRPr="00FF4196">
        <w:rPr>
          <w:rStyle w:val="Pogrubienie"/>
          <w:lang w:val="en-US"/>
        </w:rPr>
        <w:t>97</w:t>
      </w:r>
      <w:r w:rsidRPr="00FF4196">
        <w:rPr>
          <w:lang w:val="en-US"/>
        </w:rPr>
        <w:t>(1): 88-94.</w:t>
      </w:r>
    </w:p>
    <w:p w14:paraId="58D32479" w14:textId="77777777" w:rsidR="00E56A40" w:rsidRPr="00FF4196" w:rsidRDefault="00E56A40" w:rsidP="00E56A40">
      <w:pPr>
        <w:pStyle w:val="endnotebibliography"/>
        <w:rPr>
          <w:lang w:val="en-US"/>
        </w:rPr>
      </w:pPr>
      <w:r w:rsidRPr="00FF4196">
        <w:rPr>
          <w:lang w:val="en-US"/>
        </w:rPr>
        <w:t xml:space="preserve">            BACKGROUND: Plant cell suspension cultures have emerged as a potential source of secondary metabolites for food additives and pharmaceuticals. In this study inulin accumulation and its degree of polymerisation (DP) in the treated cells in the same medium were investigated after treatment with six types of elicitors. RESULTS: An in vitro cell suspension culture of Jerusalem artichoke (Helianthus tuberosus L.) was optimised by adding an extra nitrogen source. According to the growth kinetics, a maximum biomass of 5.48 g L(-1) was obtained from the optimal cell suspension medium consisted of Murashige and Skoog basic medium (MS) + 1.0 mg L(-1) alpha-naphthalene acetic acid (NAA) + 1.0 mg L(-1) 6-benzylaminopurine (6-BA) + 0.5 mg L(-1) proline + 1.0 mg L(-1) glutamine. Methyl jasmonate (MeJA, 250 micromol L(-1) ) treatment for 15 days led to the highest levels of inulin (2955.27 +/- 9.81 mg L(-1) compared to control of 1217.46 +/- 0.26 mg L(-1) ). The elicited effect of five elicitors to the suspension cells of Jerusalem artichoke is as follows: AgNO3 (Ag, 10 micromol L(-1) ), salicylic acid (SA, 75 micromol L(-1) ), chitosan (KJT, 40 mg L(-1) ), Trichoderma viride (Tv, 90 mg L(-1) ), yeast extract (YE, 0.25 mg L(-1) ), and the corresponding content of inulin is increased by 2.05-, 1.93-, 1.76-, 1.44- and 1.18-fold </w:t>
      </w:r>
      <w:r w:rsidRPr="00FF4196">
        <w:rPr>
          <w:lang w:val="en-US"/>
        </w:rPr>
        <w:lastRenderedPageBreak/>
        <w:t>compared to control, respectively. The obvious effect on the percentage of lower DP in inulin was observed in cells treated with 40 mg L(-1) KJT, 0.25 mg L(-1) YE and 10 micromol L(-1) Ag. CONCLUSIONS: Among the six types of elicitors, the descending order of inulin content is MeJA &gt; Ag &gt; SA &gt; KJT &gt; Tv &gt; YE. For the purpose inulin with lower DP and its application to prebiotic food, three elicitors, including KJT, YE and Ag, can be used for the elicitation. (c) 2016 Society of Chemical Industry.</w:t>
      </w:r>
    </w:p>
    <w:p w14:paraId="372B1425" w14:textId="77777777" w:rsidR="00E56A40" w:rsidRPr="00FF4196" w:rsidRDefault="00E56A40" w:rsidP="00E56A40">
      <w:pPr>
        <w:pStyle w:val="endnotebibliography"/>
        <w:rPr>
          <w:lang w:val="en-US"/>
        </w:rPr>
      </w:pPr>
      <w:r w:rsidRPr="00FF4196">
        <w:rPr>
          <w:lang w:val="en-US"/>
        </w:rPr>
        <w:t> </w:t>
      </w:r>
    </w:p>
    <w:p w14:paraId="0AB08F49" w14:textId="77777777" w:rsidR="00E56A40" w:rsidRPr="00FF4196" w:rsidRDefault="00E56A40" w:rsidP="00E56A40">
      <w:pPr>
        <w:pStyle w:val="endnotebibliography"/>
        <w:rPr>
          <w:lang w:val="en-US"/>
        </w:rPr>
      </w:pPr>
      <w:r w:rsidRPr="00FF4196">
        <w:rPr>
          <w:lang w:val="en-US"/>
        </w:rPr>
        <w:t xml:space="preserve">Maas, M., et al. (2011). "An unusual dimeric guaianolide with antiprotozoal activity and further sesquiterpene lactones from Eupatoriumperfoliatum." </w:t>
      </w:r>
      <w:r w:rsidRPr="00FF4196">
        <w:rPr>
          <w:u w:val="single"/>
          <w:lang w:val="en-US"/>
        </w:rPr>
        <w:t>Phytochemistry</w:t>
      </w:r>
      <w:r w:rsidRPr="00FF4196">
        <w:rPr>
          <w:lang w:val="en-US"/>
        </w:rPr>
        <w:t xml:space="preserve"> </w:t>
      </w:r>
      <w:r w:rsidRPr="00FF4196">
        <w:rPr>
          <w:rStyle w:val="Pogrubienie"/>
          <w:lang w:val="en-US"/>
        </w:rPr>
        <w:t>72</w:t>
      </w:r>
      <w:r w:rsidRPr="00FF4196">
        <w:rPr>
          <w:lang w:val="en-US"/>
        </w:rPr>
        <w:t>(7): 635-644.</w:t>
      </w:r>
    </w:p>
    <w:p w14:paraId="32758DB5" w14:textId="77777777" w:rsidR="00E56A40" w:rsidRPr="00FF4196" w:rsidRDefault="00E56A40" w:rsidP="00E56A40">
      <w:pPr>
        <w:pStyle w:val="endnotebibliography"/>
        <w:rPr>
          <w:lang w:val="en-US"/>
        </w:rPr>
      </w:pPr>
      <w:r w:rsidRPr="00FF4196">
        <w:rPr>
          <w:lang w:val="en-US"/>
        </w:rPr>
        <w:t>            The CH(2)Cl(2) extract of aerial parts of Eupatorium perfoliatum L. exhibits antiprotozoal activity under in vitro conditions, especially against Plasmodium falciparum (IC(50)=2.7mug/ml). The search for active compounds yielded seven sesquiterpene lactones: Four structurally similar guaianolides, one dimeric guaianolide, and two germacranolides. The guaianolides differ in the degree of oxidation at C-14, ranging from a hydroxyl group up to a free carboxylic acid. The dimeric guaianolide, structurally closely related to the monomers, displays an unusual type of interguaianolide linkage between C-14 and C-4. Except for the germacranolide euperfolitin, all STLs described here were hitherto unknown. Furthermore, the flavonoid aglycones eupafolin, hispidulin, patuletin, and kaempferol were identified in the extract, which, except for kaempferol, have not been described as constituents of E. perfoliatum before. The dimeric guaianolide was shown to be the most active constituent against Plasmodium falciparum (IC(50) = 2.0muM) and was less cytotoxic against rat skeletal myoblasts (IC(50) = 16.2muM, selectivity index of about 8).</w:t>
      </w:r>
    </w:p>
    <w:p w14:paraId="62CA1658" w14:textId="77777777" w:rsidR="00E56A40" w:rsidRPr="00FF4196" w:rsidRDefault="00E56A40" w:rsidP="00E56A40">
      <w:pPr>
        <w:pStyle w:val="endnotebibliography"/>
        <w:rPr>
          <w:lang w:val="en-US"/>
        </w:rPr>
      </w:pPr>
      <w:r w:rsidRPr="00FF4196">
        <w:rPr>
          <w:lang w:val="en-US"/>
        </w:rPr>
        <w:t> </w:t>
      </w:r>
    </w:p>
    <w:p w14:paraId="7DC813A5" w14:textId="77777777" w:rsidR="00E56A40" w:rsidRPr="00FF4196" w:rsidRDefault="00E56A40" w:rsidP="00E56A40">
      <w:pPr>
        <w:pStyle w:val="endnotebibliography"/>
        <w:rPr>
          <w:lang w:val="en-US"/>
        </w:rPr>
      </w:pPr>
      <w:r w:rsidRPr="00FF4196">
        <w:rPr>
          <w:lang w:val="en-US"/>
        </w:rPr>
        <w:t xml:space="preserve">Maas, M., et al. (2008). "Caffeic acid derivatives from Eupatorium perfoliatum L." </w:t>
      </w:r>
      <w:r w:rsidRPr="00FF4196">
        <w:rPr>
          <w:u w:val="single"/>
          <w:lang w:val="en-US"/>
        </w:rPr>
        <w:t>Molecules</w:t>
      </w:r>
      <w:r w:rsidRPr="00FF4196">
        <w:rPr>
          <w:lang w:val="en-US"/>
        </w:rPr>
        <w:t xml:space="preserve"> </w:t>
      </w:r>
      <w:r w:rsidRPr="00FF4196">
        <w:rPr>
          <w:rStyle w:val="Pogrubienie"/>
          <w:lang w:val="en-US"/>
        </w:rPr>
        <w:t>14</w:t>
      </w:r>
      <w:r w:rsidRPr="00FF4196">
        <w:rPr>
          <w:lang w:val="en-US"/>
        </w:rPr>
        <w:t>(1): 36-45.</w:t>
      </w:r>
    </w:p>
    <w:p w14:paraId="7FA68D6F" w14:textId="77777777" w:rsidR="00E56A40" w:rsidRPr="00FF4196" w:rsidRDefault="00E56A40" w:rsidP="00E56A40">
      <w:pPr>
        <w:pStyle w:val="endnotebibliography"/>
        <w:rPr>
          <w:lang w:val="en-US"/>
        </w:rPr>
      </w:pPr>
      <w:r w:rsidRPr="00FF4196">
        <w:rPr>
          <w:lang w:val="en-US"/>
        </w:rPr>
        <w:t>            From the ethyl acetate soluble fraction of a methanol/water extract of the herb Eupatorium perfoliatum L. (Asteraceae) six caffeic acid derivatives have been isolated and identified by 1D- and 2D-NMR spectroscopic data. Besides the common quinic acid derivatives 5-caffeoylquinic acid (chlorogenic acid), 3-caffeoylquinic acid (neochlorogenic acid) and 3,5-dicaffeoylquinic acid, three up to now unknown depsides of caffeic acid with glucaric acid have been isolated: 2,5-dicaffeoylglucaric acid, 3,4-dicaffeoylglucaric acid, and 2,4- or 3,5-dicaffeoylglucaric acid.</w:t>
      </w:r>
    </w:p>
    <w:p w14:paraId="338CDC21" w14:textId="77777777" w:rsidR="00E56A40" w:rsidRPr="00FF4196" w:rsidRDefault="00E56A40" w:rsidP="00E56A40">
      <w:pPr>
        <w:pStyle w:val="endnotebibliography"/>
        <w:rPr>
          <w:lang w:val="en-US"/>
        </w:rPr>
      </w:pPr>
      <w:r w:rsidRPr="00FF4196">
        <w:rPr>
          <w:lang w:val="en-US"/>
        </w:rPr>
        <w:t> </w:t>
      </w:r>
    </w:p>
    <w:p w14:paraId="3DE59AC1" w14:textId="77777777" w:rsidR="00E56A40" w:rsidRPr="00FF4196" w:rsidRDefault="00E56A40" w:rsidP="00E56A40">
      <w:pPr>
        <w:pStyle w:val="endnotebibliography"/>
        <w:rPr>
          <w:lang w:val="en-US"/>
        </w:rPr>
      </w:pPr>
      <w:r w:rsidRPr="00FF4196">
        <w:rPr>
          <w:lang w:val="en-US"/>
        </w:rPr>
        <w:t xml:space="preserve">Malakhova, D. V., et al. (2015). "The biotransformation of brewer's spent grain into biogas by anaerobic microbial communities." </w:t>
      </w:r>
      <w:r w:rsidRPr="00FF4196">
        <w:rPr>
          <w:u w:val="single"/>
          <w:lang w:val="en-US"/>
        </w:rPr>
        <w:t>World J Microbiol Biotechnol</w:t>
      </w:r>
      <w:r w:rsidRPr="00FF4196">
        <w:rPr>
          <w:lang w:val="en-US"/>
        </w:rPr>
        <w:t xml:space="preserve"> </w:t>
      </w:r>
      <w:r w:rsidRPr="00FF4196">
        <w:rPr>
          <w:rStyle w:val="Pogrubienie"/>
          <w:lang w:val="en-US"/>
        </w:rPr>
        <w:t>31</w:t>
      </w:r>
      <w:r w:rsidRPr="00FF4196">
        <w:rPr>
          <w:lang w:val="en-US"/>
        </w:rPr>
        <w:t>(12): 2015-2023.</w:t>
      </w:r>
    </w:p>
    <w:p w14:paraId="2C6EC3DE" w14:textId="77777777" w:rsidR="00E56A40" w:rsidRPr="00FF4196" w:rsidRDefault="00E56A40" w:rsidP="00E56A40">
      <w:pPr>
        <w:pStyle w:val="endnotebibliography"/>
        <w:rPr>
          <w:lang w:val="en-US"/>
        </w:rPr>
      </w:pPr>
      <w:r w:rsidRPr="00FF4196">
        <w:rPr>
          <w:lang w:val="en-US"/>
        </w:rPr>
        <w:t xml:space="preserve">            The present study reports on the biotransformation of the brewer's spent grain (BSG) in co-digestion with Jerusalem artichoke (JA, Helianthus tuberosus L.) phytomass by thermophilic (+55 degrees C) and mesophilic (+30 degrees C) anaerobic methanogenic communities. BSG is a by-product of the beer-brewing process generated in large amounts, in which utilization provokes a negative effect on the environment. In this study, we will show an effective conversion of BSG into biogas by selected microbial communities, obtained from </w:t>
      </w:r>
      <w:r w:rsidRPr="00FF4196">
        <w:rPr>
          <w:lang w:val="en-US"/>
        </w:rPr>
        <w:lastRenderedPageBreak/>
        <w:t>different sources (animal manure and previously isolated microbial consortia). The stimulation of methanogenesis was reached by the co-digestion of JA's phytomass (stem and leaves). The optimized conditions for microbial stable cultivation included the use of nutrient medium, containing yeast extract and trace element solution. The optimal BSG concentration in biogas production was 50 and 100 g L(-1). Under thermophilic conditions, the maximum total methane production reached 64%, and it comprised around 6-8 and 9-11 of L CH4 per 100 g of fermented BSG without and with co-digested JA, respectively, when the fresh inoculum was added. Although, after a year of re-cultivation, the values reduced to around 6-7, and 6-10 L CH4/100 g BSG, correspondingly, the selected microbial communities showed effective biotransformation of BSG. The supplementation of soil with the residual fermented BSG (10%, w/w) resulted in the promotion of lettuce (Lepidium sativum L.) growth. The results obtained demonstrate a potential for complete BSG utilization via biogas production and application as a soil additive.</w:t>
      </w:r>
    </w:p>
    <w:p w14:paraId="305CE8C0" w14:textId="77777777" w:rsidR="00E56A40" w:rsidRPr="00FF4196" w:rsidRDefault="00E56A40" w:rsidP="00E56A40">
      <w:pPr>
        <w:pStyle w:val="endnotebibliography"/>
        <w:rPr>
          <w:lang w:val="en-US"/>
        </w:rPr>
      </w:pPr>
      <w:r w:rsidRPr="00FF4196">
        <w:rPr>
          <w:lang w:val="en-US"/>
        </w:rPr>
        <w:t> </w:t>
      </w:r>
    </w:p>
    <w:p w14:paraId="7759E410" w14:textId="77777777" w:rsidR="00E56A40" w:rsidRPr="00FF4196" w:rsidRDefault="00E56A40" w:rsidP="00E56A40">
      <w:pPr>
        <w:pStyle w:val="endnotebibliography"/>
        <w:rPr>
          <w:lang w:val="en-US"/>
        </w:rPr>
      </w:pPr>
      <w:r w:rsidRPr="00FF4196">
        <w:rPr>
          <w:lang w:val="en-US"/>
        </w:rPr>
        <w:t xml:space="preserve">Mao, Z., et al. (2017). "Dibenzo-alpha-pyrones: a new class of larvicidal metabolites against Aedes aegypti from the endophytic fungus Hyalodendriella sp. Ponipodef12." </w:t>
      </w:r>
      <w:r w:rsidRPr="00FF4196">
        <w:rPr>
          <w:u w:val="single"/>
          <w:lang w:val="en-US"/>
        </w:rPr>
        <w:t>Pest Manag Sci</w:t>
      </w:r>
      <w:r w:rsidRPr="00FF4196">
        <w:rPr>
          <w:lang w:val="en-US"/>
        </w:rPr>
        <w:t xml:space="preserve"> </w:t>
      </w:r>
      <w:r w:rsidRPr="00FF4196">
        <w:rPr>
          <w:rStyle w:val="Pogrubienie"/>
          <w:lang w:val="en-US"/>
        </w:rPr>
        <w:t>73</w:t>
      </w:r>
      <w:r w:rsidRPr="00FF4196">
        <w:rPr>
          <w:lang w:val="en-US"/>
        </w:rPr>
        <w:t>(7): 1478-1485.</w:t>
      </w:r>
    </w:p>
    <w:p w14:paraId="4E8F439B" w14:textId="77777777" w:rsidR="00E56A40" w:rsidRPr="00FF4196" w:rsidRDefault="00E56A40" w:rsidP="00E56A40">
      <w:pPr>
        <w:pStyle w:val="endnotebibliography"/>
        <w:rPr>
          <w:lang w:val="en-US"/>
        </w:rPr>
      </w:pPr>
      <w:r w:rsidRPr="00FF4196">
        <w:rPr>
          <w:lang w:val="en-US"/>
        </w:rPr>
        <w:t>            BACKGROUND: In our search for new agrochemicals from endophytic fungi, the crude extract of the endophytic Hyalodendriella sp. Ponipodef12 associated with the hybrid 'Neva' of Populus deltoides Marsh x P. nigra L. was found to possess larvicidal activity against Aedes aegypti. RESULTS: Fractionation of the extract has led to the isolation of 11 dibenzo-alpha-pyrones (1-11), including three new congeners: hyalodendriols A-C (1-3). The structures of the new compounds were elucidated by comprehensive spectroscopic analyses, including the modified Mosher's method for the assignment of the absolute configuration. Compounds 2-7 showed potent larvicidal activities against the fourth-instar larvae of A. aegypti with IC50 values ranging from 7.21 to 120.81 microg mL(-1) . Among them, penicilliumolide D (6) displayed the strongest activity (IC50 = 7.21 microg mL(-1) ). A structure-larvicidal activity relationship was discussed. The possible mode of action of these compounds was assessed for their acetylcholinesterase inhibitory activities. In addition, hyalodendriol C (3) displayed antibacterial activity against Bacillus subtilis and Xanthomonas vesicatoria, and exhibited strong inhibition against the spore germination of Magnaporthe oryzae. CONCLUSION: Our study revealed dibenzo-alpha-pyrones to be a new class of larvicidal metabolites against A. aegypti. (c) 2016 Society of Chemical Industry.</w:t>
      </w:r>
    </w:p>
    <w:p w14:paraId="69216CA5" w14:textId="77777777" w:rsidR="00E56A40" w:rsidRPr="00FF4196" w:rsidRDefault="00E56A40" w:rsidP="00E56A40">
      <w:pPr>
        <w:pStyle w:val="endnotebibliography"/>
        <w:rPr>
          <w:lang w:val="en-US"/>
        </w:rPr>
      </w:pPr>
      <w:r w:rsidRPr="00FF4196">
        <w:rPr>
          <w:lang w:val="en-US"/>
        </w:rPr>
        <w:t> </w:t>
      </w:r>
    </w:p>
    <w:p w14:paraId="4251DFE4" w14:textId="77777777" w:rsidR="00E56A40" w:rsidRPr="00FF4196" w:rsidRDefault="00E56A40" w:rsidP="00E56A40">
      <w:pPr>
        <w:pStyle w:val="endnotebibliography"/>
        <w:rPr>
          <w:lang w:val="en-US"/>
        </w:rPr>
      </w:pPr>
      <w:r w:rsidRPr="00FF4196">
        <w:rPr>
          <w:lang w:val="en-US"/>
        </w:rPr>
        <w:t xml:space="preserve">Mao, Z., et al. (2014). "Separation and purification of bioactive botrallin and TMC-264 by a combination of HSCCC and semi-preparative HPLC from endophytic fungus Hyalodendriella sp. Ponipodef12." </w:t>
      </w:r>
      <w:r w:rsidRPr="00FF4196">
        <w:rPr>
          <w:u w:val="single"/>
          <w:lang w:val="en-US"/>
        </w:rPr>
        <w:t>World J Microbiol Biotechnol</w:t>
      </w:r>
      <w:r w:rsidRPr="00FF4196">
        <w:rPr>
          <w:lang w:val="en-US"/>
        </w:rPr>
        <w:t xml:space="preserve"> </w:t>
      </w:r>
      <w:r w:rsidRPr="00FF4196">
        <w:rPr>
          <w:rStyle w:val="Pogrubienie"/>
          <w:lang w:val="en-US"/>
        </w:rPr>
        <w:t>30</w:t>
      </w:r>
      <w:r w:rsidRPr="00FF4196">
        <w:rPr>
          <w:lang w:val="en-US"/>
        </w:rPr>
        <w:t>(9): 2533-2542.</w:t>
      </w:r>
    </w:p>
    <w:p w14:paraId="5A070186" w14:textId="77777777" w:rsidR="00E56A40" w:rsidRPr="00FF4196" w:rsidRDefault="00E56A40" w:rsidP="00E56A40">
      <w:pPr>
        <w:pStyle w:val="endnotebibliography"/>
        <w:rPr>
          <w:lang w:val="en-US"/>
        </w:rPr>
      </w:pPr>
      <w:r w:rsidRPr="00FF4196">
        <w:rPr>
          <w:lang w:val="en-US"/>
        </w:rPr>
        <w:t xml:space="preserve">            Two dibenzo-alpha-pyrones, botrallin (1) and TMC-264 (2) were preparatively separated from crude ethyl acetate extract of the endophytic fungus Hyalodendriella sp. Ponipodef12, which was isolated from the hybrid 'Neva' of Populus deltoides Marsh x P. nigra L. using a combination of high-speed counter-current chromatography (HSCCC) and semi-preparative HPLC. Botrallin (1) with 74.73% of purity and TMC-264 (2) with 82.29% of purity were obtained through HSCCC by employing a solvent system containing n-hexane-ethyl acetate-methanol-water at a volume ratio of 1.2:1.0:0.9:1.0. It was the first time for </w:t>
      </w:r>
      <w:r w:rsidRPr="00FF4196">
        <w:rPr>
          <w:lang w:val="en-US"/>
        </w:rPr>
        <w:lastRenderedPageBreak/>
        <w:t>TMC-264 (2) to be isolated from this fungus. TMC-264 (2) showed strong antimicrobial and antinematodal activity, and botrallin (1) exhibited moderate inhibitory activity on acetylcholinesterase.</w:t>
      </w:r>
    </w:p>
    <w:p w14:paraId="59D24765" w14:textId="77777777" w:rsidR="00E56A40" w:rsidRPr="00FF4196" w:rsidRDefault="00E56A40" w:rsidP="00E56A40">
      <w:pPr>
        <w:pStyle w:val="endnotebibliography"/>
        <w:rPr>
          <w:lang w:val="en-US"/>
        </w:rPr>
      </w:pPr>
      <w:r w:rsidRPr="00FF4196">
        <w:rPr>
          <w:lang w:val="en-US"/>
        </w:rPr>
        <w:t> </w:t>
      </w:r>
    </w:p>
    <w:p w14:paraId="7309E619" w14:textId="77777777" w:rsidR="00E56A40" w:rsidRPr="00FF4196" w:rsidRDefault="00E56A40" w:rsidP="00E56A40">
      <w:pPr>
        <w:pStyle w:val="endnotebibliography"/>
        <w:rPr>
          <w:lang w:val="en-US"/>
        </w:rPr>
      </w:pPr>
      <w:r w:rsidRPr="00FF4196">
        <w:rPr>
          <w:lang w:val="en-US"/>
        </w:rPr>
        <w:t xml:space="preserve">Margaritis, A. and P. Bajpai (1982). "Ethanol production from Jerusalem artichoke tubers (Helianthus tuberosus) using Kluyveromyces marxianus and Saccharomyces rosei." </w:t>
      </w:r>
      <w:r w:rsidRPr="00FF4196">
        <w:rPr>
          <w:u w:val="single"/>
          <w:lang w:val="en-US"/>
        </w:rPr>
        <w:t>Biotechnol Bioeng</w:t>
      </w:r>
      <w:r w:rsidRPr="00FF4196">
        <w:rPr>
          <w:lang w:val="en-US"/>
        </w:rPr>
        <w:t xml:space="preserve"> </w:t>
      </w:r>
      <w:r w:rsidRPr="00FF4196">
        <w:rPr>
          <w:rStyle w:val="Pogrubienie"/>
          <w:lang w:val="en-US"/>
        </w:rPr>
        <w:t>24</w:t>
      </w:r>
      <w:r w:rsidRPr="00FF4196">
        <w:rPr>
          <w:lang w:val="en-US"/>
        </w:rPr>
        <w:t>(4): 941-953.</w:t>
      </w:r>
    </w:p>
    <w:p w14:paraId="5DCD4950" w14:textId="77777777" w:rsidR="00E56A40" w:rsidRPr="00FF4196" w:rsidRDefault="00E56A40" w:rsidP="00E56A40">
      <w:pPr>
        <w:pStyle w:val="endnotebibliography"/>
        <w:rPr>
          <w:lang w:val="en-US"/>
        </w:rPr>
      </w:pPr>
      <w:r w:rsidRPr="00FF4196">
        <w:rPr>
          <w:lang w:val="en-US"/>
        </w:rPr>
        <w:t>            This article examines the potential of Jerusalem artichoke as a source for ethanol and single-cell protein SCP. In addition, experimental results are presented on batch fermentation kinetics employing two strains of Kluyveromyces marxianus and one strain of Saccharomyces rosei grown on the extract derived from the tubers of Jerusalem artichoke. Of the three cultures examined, Kluyveromyces marxianus UCD (FST) 55-82 was found to be the best producer of ethanol grown in a simple medium at 35 degrees C. The ethanol production was found to be growth-associated having a mu(max) = 0.41. h(-1) and the ethanol and biomass yields were determined to be Y(p/s) = 0.45 (88% of the theoretical) and Y(x/s) = 0.04 with 92% of the original sugars utilized. On the basis of carbohydrate yields of Jerusalem artichoke reported in the literature and these batch kinetic studies with K. maxxianus, the calculated ethanol yields were found to range from 1400 kg ethanol acre (-1) yr(-1)to a maximum of 2700 kg ethanol acre (-1) yr(-1). The SCP yields for K. marxianus were calculated to range between 130 to 250 kg dry wt cell acre (-1) yr(-1). The potential for developing an integrated process to produce ethanol and SCP is also discussed.</w:t>
      </w:r>
    </w:p>
    <w:p w14:paraId="27826233" w14:textId="77777777" w:rsidR="00E56A40" w:rsidRPr="00FF4196" w:rsidRDefault="00E56A40" w:rsidP="00E56A40">
      <w:pPr>
        <w:pStyle w:val="endnotebibliography"/>
        <w:rPr>
          <w:lang w:val="en-US"/>
        </w:rPr>
      </w:pPr>
      <w:r w:rsidRPr="00FF4196">
        <w:rPr>
          <w:lang w:val="en-US"/>
        </w:rPr>
        <w:t> </w:t>
      </w:r>
    </w:p>
    <w:p w14:paraId="4FFDF3BA" w14:textId="77777777" w:rsidR="00E56A40" w:rsidRPr="00FF4196" w:rsidRDefault="00E56A40" w:rsidP="00E56A40">
      <w:pPr>
        <w:pStyle w:val="endnotebibliography"/>
        <w:rPr>
          <w:lang w:val="en-US"/>
        </w:rPr>
      </w:pPr>
      <w:r w:rsidRPr="00FF4196">
        <w:rPr>
          <w:lang w:val="en-US"/>
        </w:rPr>
        <w:t xml:space="preserve">Meng, X., et al. (2012). "Benzopyranones from the endophytic fungus Hyalodendriella sp. Ponipodef12 and their bioactivities." </w:t>
      </w:r>
      <w:r w:rsidRPr="00FF4196">
        <w:rPr>
          <w:u w:val="single"/>
          <w:lang w:val="en-US"/>
        </w:rPr>
        <w:t>Molecules</w:t>
      </w:r>
      <w:r w:rsidRPr="00FF4196">
        <w:rPr>
          <w:lang w:val="en-US"/>
        </w:rPr>
        <w:t xml:space="preserve"> </w:t>
      </w:r>
      <w:r w:rsidRPr="00FF4196">
        <w:rPr>
          <w:rStyle w:val="Pogrubienie"/>
          <w:lang w:val="en-US"/>
        </w:rPr>
        <w:t>17</w:t>
      </w:r>
      <w:r w:rsidRPr="00FF4196">
        <w:rPr>
          <w:lang w:val="en-US"/>
        </w:rPr>
        <w:t>(10): 11303-11314.</w:t>
      </w:r>
    </w:p>
    <w:p w14:paraId="5C7BFF0F" w14:textId="77777777" w:rsidR="00E56A40" w:rsidRPr="00FF4196" w:rsidRDefault="00E56A40" w:rsidP="00E56A40">
      <w:pPr>
        <w:pStyle w:val="endnotebibliography"/>
        <w:rPr>
          <w:lang w:val="en-US"/>
        </w:rPr>
      </w:pPr>
      <w:r w:rsidRPr="00FF4196">
        <w:rPr>
          <w:lang w:val="en-US"/>
        </w:rPr>
        <w:t>            The endophytic fungus Hyalodendriella sp. Ponipodef12 was isolated from the hybrid 'Neva' of Populus deltoides Marsh x P. nigra L. In this study, four benzopyranones were isolated from the ethyl acetate extract of Hyalodendriella sp. Ponipodef12, and identified as palmariol B (1), 4-hydroxymellein (2), alternariol 9-methyl ether (3), and botrallin (4) by means of physicochemical and spectroscopic analysis. All the compounds were evaluated for their antibacterial, antifungal, antinematodal and acetylcholinesterase inhibitory activities. 4-Hydroxymellein (2) exhibited stronger antibacterial activity than the other compounds. Palmariol B (1) showed stronger antimicrobial, antinematodal and acetylcholinesterase inhibitory activities than alternariol 9-methyl ether (3) which indicated that the chlorine substitution at position 2 may contribute to its bioactivity. The results indicate the potential of this endophytic fungus as a source of bioactive benzopyranones.</w:t>
      </w:r>
    </w:p>
    <w:p w14:paraId="1BF4D026" w14:textId="77777777" w:rsidR="00E56A40" w:rsidRPr="00FF4196" w:rsidRDefault="00E56A40" w:rsidP="00E56A40">
      <w:pPr>
        <w:pStyle w:val="endnotebibliography"/>
        <w:rPr>
          <w:lang w:val="en-US"/>
        </w:rPr>
      </w:pPr>
      <w:r w:rsidRPr="00FF4196">
        <w:rPr>
          <w:lang w:val="en-US"/>
        </w:rPr>
        <w:t> </w:t>
      </w:r>
    </w:p>
    <w:p w14:paraId="19E1F249" w14:textId="77777777" w:rsidR="00E56A40" w:rsidRPr="00FF4196" w:rsidRDefault="00E56A40" w:rsidP="00E56A40">
      <w:pPr>
        <w:pStyle w:val="endnotebibliography"/>
        <w:rPr>
          <w:lang w:val="en-US"/>
        </w:rPr>
      </w:pPr>
      <w:r w:rsidRPr="00FF4196">
        <w:rPr>
          <w:lang w:val="en-US"/>
        </w:rPr>
        <w:t xml:space="preserve">Mertoglu-Elmas, G., et al. (2012). "Environmental friendly alkaline sulfite anthra quinone-methonal (ASAM) pulping with Rumex crispus plant extract of woody materials." </w:t>
      </w:r>
      <w:r w:rsidRPr="00FF4196">
        <w:rPr>
          <w:u w:val="single"/>
          <w:lang w:val="en-US"/>
        </w:rPr>
        <w:t>J Environ Biol</w:t>
      </w:r>
      <w:r w:rsidRPr="00FF4196">
        <w:rPr>
          <w:lang w:val="en-US"/>
        </w:rPr>
        <w:t xml:space="preserve"> </w:t>
      </w:r>
      <w:r w:rsidRPr="00FF4196">
        <w:rPr>
          <w:rStyle w:val="Pogrubienie"/>
          <w:lang w:val="en-US"/>
        </w:rPr>
        <w:t>33</w:t>
      </w:r>
      <w:r w:rsidRPr="00FF4196">
        <w:rPr>
          <w:lang w:val="en-US"/>
        </w:rPr>
        <w:t>(5): 941-944.</w:t>
      </w:r>
    </w:p>
    <w:p w14:paraId="0C18A201" w14:textId="77777777" w:rsidR="00E56A40" w:rsidRPr="00FF4196" w:rsidRDefault="00E56A40" w:rsidP="00E56A40">
      <w:pPr>
        <w:pStyle w:val="endnotebibliography"/>
        <w:rPr>
          <w:lang w:val="en-US"/>
        </w:rPr>
      </w:pPr>
      <w:r w:rsidRPr="00FF4196">
        <w:rPr>
          <w:lang w:val="en-US"/>
        </w:rPr>
        <w:t xml:space="preserve">            ASAM with Rumex crispus extract organosolv pulping was developed by using 1,5-dihydroxy-3-methoxy-7-methyl-anthraquinone from Rumex crispus root, instead of </w:t>
      </w:r>
      <w:r w:rsidRPr="00FF4196">
        <w:rPr>
          <w:lang w:val="en-US"/>
        </w:rPr>
        <w:lastRenderedPageBreak/>
        <w:t>anthraquinone. ASAM was also produced as a control pulping. Both pulps were made by handsheets from fast growing P. deltoides clone (Samsun p. clone), Robinia pseudoacacia L. and Pinus pinaster grown in Turkey for wood fibrous raw materials. The mechanical consisting tensile, bursting and tear values and optical values of ASAM handsheets yellowness, brightness and whiteness were compared to ASAM with Rumex crispus L. extracted. It is concluded that ASAM with Rumex crispus extract pulping suits well in the manufacturing of special papers.</w:t>
      </w:r>
    </w:p>
    <w:p w14:paraId="280BBEC8" w14:textId="77777777" w:rsidR="00E56A40" w:rsidRPr="00FF4196" w:rsidRDefault="00E56A40" w:rsidP="00E56A40">
      <w:pPr>
        <w:pStyle w:val="endnotebibliography"/>
        <w:rPr>
          <w:lang w:val="en-US"/>
        </w:rPr>
      </w:pPr>
      <w:r w:rsidRPr="00FF4196">
        <w:rPr>
          <w:lang w:val="en-US"/>
        </w:rPr>
        <w:t> </w:t>
      </w:r>
    </w:p>
    <w:p w14:paraId="65A2BDE5" w14:textId="77777777" w:rsidR="00E56A40" w:rsidRPr="00FF4196" w:rsidRDefault="00E56A40" w:rsidP="00E56A40">
      <w:pPr>
        <w:pStyle w:val="endnotebibliography"/>
        <w:rPr>
          <w:lang w:val="en-US"/>
        </w:rPr>
      </w:pPr>
      <w:r w:rsidRPr="00FF4196">
        <w:rPr>
          <w:lang w:val="en-US"/>
        </w:rPr>
        <w:t xml:space="preserve">Mornkham, T., et al. (2013). "Extractions of High Quality RNA from the Seeds of Jerusalem Artichoke and Other Plant Species with High Levels of Starch and Lipid." </w:t>
      </w:r>
      <w:r w:rsidRPr="00FF4196">
        <w:rPr>
          <w:u w:val="single"/>
          <w:lang w:val="en-US"/>
        </w:rPr>
        <w:t>Plants (Basel)</w:t>
      </w:r>
      <w:r w:rsidRPr="00FF4196">
        <w:rPr>
          <w:lang w:val="en-US"/>
        </w:rPr>
        <w:t xml:space="preserve"> </w:t>
      </w:r>
      <w:r w:rsidRPr="00FF4196">
        <w:rPr>
          <w:rStyle w:val="Pogrubienie"/>
          <w:lang w:val="en-US"/>
        </w:rPr>
        <w:t>2</w:t>
      </w:r>
      <w:r w:rsidRPr="00FF4196">
        <w:rPr>
          <w:lang w:val="en-US"/>
        </w:rPr>
        <w:t>(2): 302-316.</w:t>
      </w:r>
    </w:p>
    <w:p w14:paraId="2F5BDFB8" w14:textId="77777777" w:rsidR="00E56A40" w:rsidRPr="00FF4196" w:rsidRDefault="00E56A40" w:rsidP="00E56A40">
      <w:pPr>
        <w:pStyle w:val="endnotebibliography"/>
        <w:rPr>
          <w:lang w:val="en-US"/>
        </w:rPr>
      </w:pPr>
      <w:r w:rsidRPr="00FF4196">
        <w:rPr>
          <w:lang w:val="en-US"/>
        </w:rPr>
        <w:t>            Jerusalem artichoke (Helianthus tuberosus L.) is an important tuber crop. However, Jerusalem artichoke seeds contain high levels of starch and lipid, making the extraction of high-quality RNA extremely difficult and the gene expression analysis challenging. This study was aimed to improve existing methods for extracting total RNA from Jerusalem artichoke dry seeds and to assess the applicability of the improved method in other plant species. Five RNA extraction methods were evaluated on Jerusalem artichoke seeds and two were modified. One modified method with the significant improvement was applied to assay seeds of diverse Jerusalem artichoke accessions, sunflower, rice, maize, peanut and marigold. The effectiveness of the improved method to extract total RNA from seeds was assessed using qPCR analysis of four selected genes. The improved method of Ma and Yang (2011) yielded a maximum RNA solubility and removed most interfering substances. The improved protocol generated 29 to 41 microg RNA/30 mg fresh weight. An A260/A280 ratio of 1.79 to 2.22 showed their RNA purity. Extracted RNA was effective for downstream applications such as first-stranded cDNA synthesis, cDNA cloning and qPCR. The improved method was also effective to extract total RNA from seeds of sunflower, rice, maize and peanut that are rich in polyphenols, lipids and polysaccharides.</w:t>
      </w:r>
    </w:p>
    <w:p w14:paraId="72A27467" w14:textId="77777777" w:rsidR="00E56A40" w:rsidRPr="00FF4196" w:rsidRDefault="00E56A40" w:rsidP="00E56A40">
      <w:pPr>
        <w:pStyle w:val="endnotebibliography"/>
        <w:rPr>
          <w:lang w:val="en-US"/>
        </w:rPr>
      </w:pPr>
      <w:r w:rsidRPr="00FF4196">
        <w:rPr>
          <w:lang w:val="en-US"/>
        </w:rPr>
        <w:t> </w:t>
      </w:r>
    </w:p>
    <w:p w14:paraId="5D587619" w14:textId="77777777" w:rsidR="00E56A40" w:rsidRPr="00FF4196" w:rsidRDefault="00E56A40" w:rsidP="00E56A40">
      <w:pPr>
        <w:pStyle w:val="endnotebibliography"/>
        <w:rPr>
          <w:lang w:val="en-US"/>
        </w:rPr>
      </w:pPr>
      <w:r w:rsidRPr="00FF4196">
        <w:rPr>
          <w:lang w:val="en-US"/>
        </w:rPr>
        <w:t xml:space="preserve">Parveen, I., et al. (2011). "Isolation, identification and quantitation of hydroxycinnamic acid conjugates, potential platform chemicals, in the leaves and stems of Miscanthus x giganteus using LC-ESI-MSn." </w:t>
      </w:r>
      <w:r w:rsidRPr="00FF4196">
        <w:rPr>
          <w:u w:val="single"/>
          <w:lang w:val="en-US"/>
        </w:rPr>
        <w:t>Phytochemistry</w:t>
      </w:r>
      <w:r w:rsidRPr="00FF4196">
        <w:rPr>
          <w:lang w:val="en-US"/>
        </w:rPr>
        <w:t xml:space="preserve"> </w:t>
      </w:r>
      <w:r w:rsidRPr="00FF4196">
        <w:rPr>
          <w:rStyle w:val="Pogrubienie"/>
          <w:lang w:val="en-US"/>
        </w:rPr>
        <w:t>72</w:t>
      </w:r>
      <w:r w:rsidRPr="00FF4196">
        <w:rPr>
          <w:lang w:val="en-US"/>
        </w:rPr>
        <w:t>(18): 2376-2384.</w:t>
      </w:r>
    </w:p>
    <w:p w14:paraId="25B77F77" w14:textId="77777777" w:rsidR="00E56A40" w:rsidRPr="00FF4196" w:rsidRDefault="00E56A40" w:rsidP="00E56A40">
      <w:pPr>
        <w:pStyle w:val="endnotebibliography"/>
        <w:rPr>
          <w:lang w:val="en-US"/>
        </w:rPr>
      </w:pPr>
      <w:r w:rsidRPr="00FF4196">
        <w:rPr>
          <w:lang w:val="en-US"/>
        </w:rPr>
        <w:t>            Miscanthusxgiganteus is a source of platform chemicals and bioethanol through fermentation. Cinnamates in leaves and stems were analysed by LC-ESI-MS(n). Free phenols were extracted and separated chromatographically. More than 20 hydroxycinnamates were identified by UV and LC-ESI-MS(n). Comparative LC-MS studies on the leaf extract showed isomers of O-caffeoylquinic acid (3-CQA, 4-CQA and 5-CQA), O-feruloylquinic acid (3-FQA, 4-FQA and 5-FQA) and para-coumaroylquinic acid (3-pCoQA and 5-pCoQA). Excepting 3-pCoQA, all were also detected in stem. 5-CQA dominated in leaf; a mandelonitrile-caffeoylquinic acid dominated in stem. Three minor leaf components were distinguished by fragmentation patterns in a targetted MS(2) experiment as dicaffeoylquinic acid isomers. Others (M(r) 516) were tentatively identified as hexosylcaffeoyl-quinates. Three positional isomers of O-caffeoylshikimic acid were minor components. p-Hydroxybenzaldehyde was also a major component in stem. This is the first report of the hydroxycinnamic acid profile of leaves and stems of M.xgiganteus.</w:t>
      </w:r>
    </w:p>
    <w:p w14:paraId="0BA1BEAB" w14:textId="77777777" w:rsidR="00E56A40" w:rsidRPr="00FF4196" w:rsidRDefault="00E56A40" w:rsidP="00E56A40">
      <w:pPr>
        <w:pStyle w:val="endnotebibliography"/>
        <w:rPr>
          <w:lang w:val="en-US"/>
        </w:rPr>
      </w:pPr>
      <w:r w:rsidRPr="00FF4196">
        <w:rPr>
          <w:lang w:val="en-US"/>
        </w:rPr>
        <w:lastRenderedPageBreak/>
        <w:t> </w:t>
      </w:r>
    </w:p>
    <w:p w14:paraId="571C4FB5" w14:textId="77777777" w:rsidR="00E56A40" w:rsidRPr="00FF4196" w:rsidRDefault="00E56A40" w:rsidP="00E56A40">
      <w:pPr>
        <w:pStyle w:val="endnotebibliography"/>
        <w:rPr>
          <w:lang w:val="en-US"/>
        </w:rPr>
      </w:pPr>
      <w:r w:rsidRPr="00FF4196">
        <w:rPr>
          <w:lang w:val="en-US"/>
        </w:rPr>
        <w:t xml:space="preserve">Pasca, C., et al. (2017). "Medicinal Plants Based Products Tested on Pathogens Isolated from Mastitis Milk." </w:t>
      </w:r>
      <w:r w:rsidRPr="00FF4196">
        <w:rPr>
          <w:u w:val="single"/>
          <w:lang w:val="en-US"/>
        </w:rPr>
        <w:t>Molecules</w:t>
      </w:r>
      <w:r w:rsidRPr="00FF4196">
        <w:rPr>
          <w:lang w:val="en-US"/>
        </w:rPr>
        <w:t xml:space="preserve"> </w:t>
      </w:r>
      <w:r w:rsidRPr="00FF4196">
        <w:rPr>
          <w:rStyle w:val="Pogrubienie"/>
          <w:lang w:val="en-US"/>
        </w:rPr>
        <w:t>22</w:t>
      </w:r>
      <w:r w:rsidRPr="00FF4196">
        <w:rPr>
          <w:lang w:val="en-US"/>
        </w:rPr>
        <w:t>(9).</w:t>
      </w:r>
    </w:p>
    <w:p w14:paraId="742AA552" w14:textId="77777777" w:rsidR="00E56A40" w:rsidRPr="00FF4196" w:rsidRDefault="00E56A40" w:rsidP="00E56A40">
      <w:pPr>
        <w:pStyle w:val="endnotebibliography"/>
        <w:rPr>
          <w:lang w:val="en-US"/>
        </w:rPr>
      </w:pPr>
      <w:r w:rsidRPr="00FF4196">
        <w:rPr>
          <w:lang w:val="en-US"/>
        </w:rPr>
        <w:t>            Bovine mastitis a major disease that is commonly associated with bacterial infection. The common treatment is with antibiotics administered intramammary into infected quarters of the udder. The excessive use of antibiotics leads to multidrug resistance and associated risks for human health. In this context, the search for alternative drugs based on plants has become a priority in livestock medicine. These products have a low manufacturing cost and no reports of antimicrobial resistance to these have been documented. In this context, the main objective of this study was to determine the antimicrobial effect of extracts and products of several indigenous, or acclimatized plants on pathogens isolated from bovine mastitis. A total of eleven plant alcoholic extracts and eight plant-derived products were tested against 32 microorganisms isolated from milk. The obtained results have shown an inhibition of bacterial growth for all tested plants, with better results for Everniaprunastri, Artemisiaabsinthium, and Lavandulaangustifolia. Moreover, E.prunastri, Populus nigra, and L. angustifolia presented small averages of minimum inhibitory and bactericidal concentrations. Among the plant-derived products, three out of eight have shown a strong anti-microbial effect comparable with the effect of florfenicol and enrofloxacin, and better than individual plant extracts possibly due to synergism. These results suggest an important anti-microbial effect of these products on pathogens isolated from bovine mastitis with a possible applicability in this disease.</w:t>
      </w:r>
    </w:p>
    <w:p w14:paraId="23154170" w14:textId="77777777" w:rsidR="00E56A40" w:rsidRPr="00FF4196" w:rsidRDefault="00E56A40" w:rsidP="00E56A40">
      <w:pPr>
        <w:pStyle w:val="endnotebibliography"/>
        <w:rPr>
          <w:lang w:val="en-US"/>
        </w:rPr>
      </w:pPr>
      <w:r w:rsidRPr="00FF4196">
        <w:rPr>
          <w:lang w:val="en-US"/>
        </w:rPr>
        <w:t> </w:t>
      </w:r>
    </w:p>
    <w:p w14:paraId="017C28E7" w14:textId="77777777" w:rsidR="00E56A40" w:rsidRPr="00FF4196" w:rsidRDefault="00E56A40" w:rsidP="00E56A40">
      <w:pPr>
        <w:pStyle w:val="endnotebibliography"/>
        <w:rPr>
          <w:lang w:val="en-US"/>
        </w:rPr>
      </w:pPr>
      <w:r w:rsidRPr="00FF4196">
        <w:rPr>
          <w:lang w:val="en-US"/>
        </w:rPr>
        <w:t xml:space="preserve">Patra, J. K., et al. (2015). "Bactericidal effect of extracts and metabolites of Robinia pseudoacacia L. on Streptococcus mutans and Porphyromonas gingivalis causing dental plaque and periodontal inflammatory diseases." </w:t>
      </w:r>
      <w:r w:rsidRPr="00FF4196">
        <w:rPr>
          <w:u w:val="single"/>
          <w:lang w:val="en-US"/>
        </w:rPr>
        <w:t>Molecules</w:t>
      </w:r>
      <w:r w:rsidRPr="00FF4196">
        <w:rPr>
          <w:lang w:val="en-US"/>
        </w:rPr>
        <w:t xml:space="preserve"> </w:t>
      </w:r>
      <w:r w:rsidRPr="00FF4196">
        <w:rPr>
          <w:rStyle w:val="Pogrubienie"/>
          <w:lang w:val="en-US"/>
        </w:rPr>
        <w:t>20</w:t>
      </w:r>
      <w:r w:rsidRPr="00FF4196">
        <w:rPr>
          <w:lang w:val="en-US"/>
        </w:rPr>
        <w:t>(4): 6128-6139.</w:t>
      </w:r>
    </w:p>
    <w:p w14:paraId="1339D6C6" w14:textId="77777777" w:rsidR="00E56A40" w:rsidRPr="00FF4196" w:rsidRDefault="00E56A40" w:rsidP="00E56A40">
      <w:pPr>
        <w:pStyle w:val="endnotebibliography"/>
        <w:rPr>
          <w:lang w:val="en-US"/>
        </w:rPr>
      </w:pPr>
      <w:r w:rsidRPr="00FF4196">
        <w:rPr>
          <w:lang w:val="en-US"/>
        </w:rPr>
        <w:t>            The mouth cavity hosts many types of anaerobic bacteria, including Streptococcus mutans and Porphyromonas gingivalis, which cause periodontal inflammatory diseases and dental caries. The present study was conducted to evaluate the antibacterial potential of extracts of Robinia pseudoacacia and its different fractions, as well as some of its natural compounds against oral pathogens and a nonpathogenic reference bacteria, Escherichia coli. The antibacterial activity of the crude extract and the solvent fractions (hexane, chloroform, ethyl acetate and butanol) of R. pseudoacacia were evaluated against S. mutans, P. gingivalis and E. coli DH5alpha by standard micro-assay procedure using conventional sterile polystyrene microplates. The results showed that the crude extract was more active against P. gingivalis (100% growth inhibition) than against S. mutans (73% growth inhibition) at 1.8 mg/mL. The chloroform and hexane fractions were active against P. gingivalis, with 91 and 97% growth inhibition, respectively, at 0.2 mg/mL. None of seven natural compounds found in R. pseudoacacia exerted an antibacterial effect on P. gingivalis; however, fisetin and myricetin at 8 microg/mL inhibited the growth of S. mutans by 81% and 86%, respectively. The crude extract of R. pseudoacacia possesses bioactive compounds that could completely control the growth of P. gingivalis. The antibiotic activities of the hexane and chloroform fractions suggest that the active compounds are hydrophobic in nature. The results indicate the effectiveness of the plant in clinical applications for the treatment of dental plaque and periodontal inflammatory diseases and its potential use as disinfectant for various surgical and orthodontic appliances.</w:t>
      </w:r>
    </w:p>
    <w:p w14:paraId="2CF12DE4" w14:textId="77777777" w:rsidR="00E56A40" w:rsidRPr="00FF4196" w:rsidRDefault="00E56A40" w:rsidP="00E56A40">
      <w:pPr>
        <w:pStyle w:val="endnotebibliography"/>
        <w:rPr>
          <w:lang w:val="en-US"/>
        </w:rPr>
      </w:pPr>
      <w:r w:rsidRPr="00FF4196">
        <w:rPr>
          <w:lang w:val="en-US"/>
        </w:rPr>
        <w:lastRenderedPageBreak/>
        <w:t> </w:t>
      </w:r>
    </w:p>
    <w:p w14:paraId="3B7A5F81" w14:textId="77777777" w:rsidR="00E56A40" w:rsidRPr="00FF4196" w:rsidRDefault="00E56A40" w:rsidP="00E56A40">
      <w:pPr>
        <w:pStyle w:val="endnotebibliography"/>
        <w:rPr>
          <w:lang w:val="en-US"/>
        </w:rPr>
      </w:pPr>
      <w:r w:rsidRPr="00FF4196">
        <w:rPr>
          <w:lang w:val="en-US"/>
        </w:rPr>
        <w:t xml:space="preserve">Pharriss, B. B. and R. L. Russell (1967). "Effects of a water soluble extract of Robinia pseudoacacia leaves on uterine smooth muscle." </w:t>
      </w:r>
      <w:r w:rsidRPr="00FF4196">
        <w:rPr>
          <w:u w:val="single"/>
          <w:lang w:val="en-US"/>
        </w:rPr>
        <w:t>Experientia</w:t>
      </w:r>
      <w:r w:rsidRPr="00FF4196">
        <w:rPr>
          <w:lang w:val="en-US"/>
        </w:rPr>
        <w:t xml:space="preserve"> </w:t>
      </w:r>
      <w:r w:rsidRPr="00FF4196">
        <w:rPr>
          <w:rStyle w:val="Pogrubienie"/>
          <w:lang w:val="en-US"/>
        </w:rPr>
        <w:t>23</w:t>
      </w:r>
      <w:r w:rsidRPr="00FF4196">
        <w:rPr>
          <w:lang w:val="en-US"/>
        </w:rPr>
        <w:t>(8): 637-638.</w:t>
      </w:r>
    </w:p>
    <w:p w14:paraId="60AEA79F" w14:textId="77777777" w:rsidR="00E56A40" w:rsidRPr="00FF4196" w:rsidRDefault="00E56A40" w:rsidP="00E56A40">
      <w:pPr>
        <w:pStyle w:val="endnotebibliography"/>
        <w:rPr>
          <w:lang w:val="en-US"/>
        </w:rPr>
      </w:pPr>
      <w:r w:rsidRPr="00FF4196">
        <w:rPr>
          <w:lang w:val="en-US"/>
        </w:rPr>
        <w:t>           </w:t>
      </w:r>
    </w:p>
    <w:p w14:paraId="2761797F" w14:textId="77777777" w:rsidR="00E56A40" w:rsidRPr="00FF4196" w:rsidRDefault="00E56A40" w:rsidP="00E56A40">
      <w:pPr>
        <w:pStyle w:val="endnotebibliography"/>
        <w:rPr>
          <w:lang w:val="en-US"/>
        </w:rPr>
      </w:pPr>
      <w:r w:rsidRPr="00FF4196">
        <w:rPr>
          <w:lang w:val="en-US"/>
        </w:rPr>
        <w:t xml:space="preserve">Pietrzak, W., et al. (2017). "LC-ESI-MS/MS Identification of Biologically Active Phenolic Compounds in Mistletoe Berry Extracts from Different Host Trees." </w:t>
      </w:r>
      <w:r w:rsidRPr="00FF4196">
        <w:rPr>
          <w:u w:val="single"/>
          <w:lang w:val="en-US"/>
        </w:rPr>
        <w:t>Molecules</w:t>
      </w:r>
      <w:r w:rsidRPr="00FF4196">
        <w:rPr>
          <w:lang w:val="en-US"/>
        </w:rPr>
        <w:t xml:space="preserve"> </w:t>
      </w:r>
      <w:r w:rsidRPr="00FF4196">
        <w:rPr>
          <w:rStyle w:val="Pogrubienie"/>
          <w:lang w:val="en-US"/>
        </w:rPr>
        <w:t>22</w:t>
      </w:r>
      <w:r w:rsidRPr="00FF4196">
        <w:rPr>
          <w:lang w:val="en-US"/>
        </w:rPr>
        <w:t>(4).</w:t>
      </w:r>
    </w:p>
    <w:p w14:paraId="617EC4D7" w14:textId="77777777" w:rsidR="00E56A40" w:rsidRPr="00FF4196" w:rsidRDefault="00E56A40" w:rsidP="00E56A40">
      <w:pPr>
        <w:pStyle w:val="endnotebibliography"/>
        <w:rPr>
          <w:lang w:val="en-US"/>
        </w:rPr>
      </w:pPr>
      <w:r w:rsidRPr="00FF4196">
        <w:rPr>
          <w:lang w:val="en-US"/>
        </w:rPr>
        <w:t>            A new, rapid, sensitive and selective liquid chromatography-electrospray ionization-tandem mass spectrometry (LC-ESI-MS/MS) method was developed to determine the content of flavonoid aglycones and phenolic acids in mistletoe berries (Viscum album L.) harvested from six different Polish host trees. Additionally, the total phenolic content (TPC) and total flavonoid content (TFC) as well as an antioxidant and antiproliferative activity were evaluated for the first time. The plant material was selectively extracted using ultrasound assisted maceration with methanol/water (8:2) solution. The obtained TPC and TFC results varied from 7.146 to 9.345 mg GA g(-)(1) and from 1.888 to 2.888 mg Q g(-1) of dry extracts, respectively. The LC-ESI-MS/MS analysis demonstrated the highest content of phenolic acids in mistletoe berries from Populus nigra 'Italica' L. and flavonoid aglycones in mistletoe berries from Tilia cordata Mill. (354.45 microg and 5.955 microg per g dry extract, respectively). The moderate antioxidant activity of investigated extracts was obtained. The studies revealed that the examined extracts decreased the proliferation of human colon adenocarcinoma cells line LS180 in a dose-dependent manner without cytotoxicity in the human colon epithelial cell line CCD 841 CoTr. Moreover, the obtained results suggest considerable impact of polyphenols on the anticancer activity of these extracts.</w:t>
      </w:r>
    </w:p>
    <w:p w14:paraId="575265CA" w14:textId="77777777" w:rsidR="00E56A40" w:rsidRPr="00FF4196" w:rsidRDefault="00E56A40" w:rsidP="00E56A40">
      <w:pPr>
        <w:pStyle w:val="endnotebibliography"/>
        <w:rPr>
          <w:lang w:val="en-US"/>
        </w:rPr>
      </w:pPr>
      <w:r w:rsidRPr="00FF4196">
        <w:rPr>
          <w:lang w:val="en-US"/>
        </w:rPr>
        <w:t> </w:t>
      </w:r>
    </w:p>
    <w:p w14:paraId="0F17CFA0" w14:textId="77777777" w:rsidR="00E56A40" w:rsidRPr="00FF4196" w:rsidRDefault="00E56A40" w:rsidP="00E56A40">
      <w:pPr>
        <w:pStyle w:val="endnotebibliography"/>
        <w:rPr>
          <w:lang w:val="en-US"/>
        </w:rPr>
      </w:pPr>
      <w:r>
        <w:t xml:space="preserve">Poblocka-Olech, L. and M. Krauze-Baranowska (2008). </w:t>
      </w:r>
      <w:r w:rsidRPr="00FF4196">
        <w:rPr>
          <w:lang w:val="en-US"/>
        </w:rPr>
        <w:t xml:space="preserve">"SPE-HPTLC of procyanidins from the barks of different species and clones of Salix." </w:t>
      </w:r>
      <w:r w:rsidRPr="00FF4196">
        <w:rPr>
          <w:u w:val="single"/>
          <w:lang w:val="en-US"/>
        </w:rPr>
        <w:t>J Pharm Biomed Anal</w:t>
      </w:r>
      <w:r w:rsidRPr="00FF4196">
        <w:rPr>
          <w:lang w:val="en-US"/>
        </w:rPr>
        <w:t xml:space="preserve"> </w:t>
      </w:r>
      <w:r w:rsidRPr="00FF4196">
        <w:rPr>
          <w:rStyle w:val="Pogrubienie"/>
          <w:lang w:val="en-US"/>
        </w:rPr>
        <w:t>48</w:t>
      </w:r>
      <w:r w:rsidRPr="00FF4196">
        <w:rPr>
          <w:lang w:val="en-US"/>
        </w:rPr>
        <w:t>(3): 965-968.</w:t>
      </w:r>
    </w:p>
    <w:p w14:paraId="1F84ED6A" w14:textId="77777777" w:rsidR="00E56A40" w:rsidRPr="00FF4196" w:rsidRDefault="00E56A40" w:rsidP="00E56A40">
      <w:pPr>
        <w:pStyle w:val="endnotebibliography"/>
        <w:rPr>
          <w:lang w:val="en-US"/>
        </w:rPr>
      </w:pPr>
      <w:r w:rsidRPr="00FF4196">
        <w:rPr>
          <w:lang w:val="en-US"/>
        </w:rPr>
        <w:t>            A SPE-HPTLC method was developed for the qualitative and quantitative analysis of procyanidin B(1) in willow barks. The chromatography was performed on HPTLC silica gel layer with the mobile phase chloroform-ethanol-formic acid (50:40:6 v/v/v), in the Automatic Developing Chamber-ADC 2. The methanol extracts from willow barks were purified by SPE method on RP-18 silica gel columns with methanol-water (7:93 v/v) as the eluent. The presence of procyanidin B(1) was revealed in the majority of investigated willow barks. The content of procyanidin B(1) varied from 0.26 mg/g in the extract of Salix purpurea clone 1067-2.24 mg/g in the extract of Salix alba clone 1100. The method was validated for linearity, precision, LOD, LOQ and repeatability.</w:t>
      </w:r>
    </w:p>
    <w:p w14:paraId="4994CF81" w14:textId="77777777" w:rsidR="00E56A40" w:rsidRPr="00FF4196" w:rsidRDefault="00E56A40" w:rsidP="00E56A40">
      <w:pPr>
        <w:pStyle w:val="endnotebibliography"/>
        <w:rPr>
          <w:lang w:val="en-US"/>
        </w:rPr>
      </w:pPr>
      <w:r w:rsidRPr="00FF4196">
        <w:rPr>
          <w:lang w:val="en-US"/>
        </w:rPr>
        <w:t> </w:t>
      </w:r>
    </w:p>
    <w:p w14:paraId="6CE95317" w14:textId="77777777" w:rsidR="00E56A40" w:rsidRPr="00FF4196" w:rsidRDefault="00E56A40" w:rsidP="00E56A40">
      <w:pPr>
        <w:pStyle w:val="endnotebibliography"/>
        <w:rPr>
          <w:lang w:val="en-US"/>
        </w:rPr>
      </w:pPr>
      <w:r w:rsidRPr="00FF4196">
        <w:rPr>
          <w:lang w:val="en-US"/>
        </w:rPr>
        <w:t xml:space="preserve">Popova, M., et al. (2017). "Characterization and Biological Evaluation of Propolis from Poland." </w:t>
      </w:r>
      <w:r w:rsidRPr="00FF4196">
        <w:rPr>
          <w:u w:val="single"/>
          <w:lang w:val="en-US"/>
        </w:rPr>
        <w:t>Molecules</w:t>
      </w:r>
      <w:r w:rsidRPr="00FF4196">
        <w:rPr>
          <w:lang w:val="en-US"/>
        </w:rPr>
        <w:t xml:space="preserve"> </w:t>
      </w:r>
      <w:r w:rsidRPr="00FF4196">
        <w:rPr>
          <w:rStyle w:val="Pogrubienie"/>
          <w:lang w:val="en-US"/>
        </w:rPr>
        <w:t>22</w:t>
      </w:r>
      <w:r w:rsidRPr="00FF4196">
        <w:rPr>
          <w:lang w:val="en-US"/>
        </w:rPr>
        <w:t>(7).</w:t>
      </w:r>
    </w:p>
    <w:p w14:paraId="4E258148" w14:textId="77777777" w:rsidR="00E56A40" w:rsidRPr="00FF4196" w:rsidRDefault="00E56A40" w:rsidP="00E56A40">
      <w:pPr>
        <w:pStyle w:val="endnotebibliography"/>
        <w:rPr>
          <w:lang w:val="en-US"/>
        </w:rPr>
      </w:pPr>
      <w:r w:rsidRPr="00FF4196">
        <w:rPr>
          <w:lang w:val="en-US"/>
        </w:rPr>
        <w:t xml:space="preserve">            In this study, we assessed the therapeutic potential of propolis from Poland and performed chemical analysis by GC-MS, as well as determined its botanical origin. Chemical constituents typical for bud exudates of Populusnigra (section Aigeiros) were determined, </w:t>
      </w:r>
      <w:r w:rsidRPr="00FF4196">
        <w:rPr>
          <w:lang w:val="en-US"/>
        </w:rPr>
        <w:lastRenderedPageBreak/>
        <w:t>however, glycerol esters of phenolic acids, as well as unusually high amounts of p-coumaric and ferulic acid and their benzyl esters, were also detected. These constituents are characteristic for buds of Populustremula (section Leuce). We also evaluated the antiproliferative effect of propolis extracts against nine human cancer cell lines. Additionally, promising antibacterial activity of the dichloromethane extract (Minimal Inhibitory Concentration MIC values of 0.95-1.24 mg/mL), as well as a moderate antifungal activity (MIC values of 1.25-1.40 mg/mL), was noticed. Propolis from Poland appeared as a rich source of antibacterial and antiproliferative compounds and this confirmed that it is a valuable natural product with the potential to improve human health.</w:t>
      </w:r>
    </w:p>
    <w:p w14:paraId="0FDD7E9A" w14:textId="77777777" w:rsidR="00E56A40" w:rsidRPr="00FF4196" w:rsidRDefault="00E56A40" w:rsidP="00E56A40">
      <w:pPr>
        <w:pStyle w:val="endnotebibliography"/>
        <w:rPr>
          <w:lang w:val="en-US"/>
        </w:rPr>
      </w:pPr>
      <w:r w:rsidRPr="00FF4196">
        <w:rPr>
          <w:lang w:val="en-US"/>
        </w:rPr>
        <w:t> </w:t>
      </w:r>
    </w:p>
    <w:p w14:paraId="3F4E8C73" w14:textId="77777777" w:rsidR="00E56A40" w:rsidRPr="00FF4196" w:rsidRDefault="00E56A40" w:rsidP="00E56A40">
      <w:pPr>
        <w:pStyle w:val="endnotebibliography"/>
        <w:rPr>
          <w:lang w:val="en-US"/>
        </w:rPr>
      </w:pPr>
      <w:r w:rsidRPr="00FF4196">
        <w:rPr>
          <w:lang w:val="en-US"/>
        </w:rPr>
        <w:t xml:space="preserve">Pradhan, S. K., et al. (2015). "Effect of feeding Jerusalem artichoke (Helianthus tuberosus) root as prebiotic on nutrient utilization, fecal characteristics and serum metabolite profile of captive Indian leopard (Panthera pardus fusca) fed a meat-on-bone diet." </w:t>
      </w:r>
      <w:r w:rsidRPr="00FF4196">
        <w:rPr>
          <w:u w:val="single"/>
          <w:lang w:val="en-US"/>
        </w:rPr>
        <w:t>Zoo Biol</w:t>
      </w:r>
      <w:r w:rsidRPr="00FF4196">
        <w:rPr>
          <w:lang w:val="en-US"/>
        </w:rPr>
        <w:t xml:space="preserve"> </w:t>
      </w:r>
      <w:r w:rsidRPr="00FF4196">
        <w:rPr>
          <w:rStyle w:val="Pogrubienie"/>
          <w:lang w:val="en-US"/>
        </w:rPr>
        <w:t>34</w:t>
      </w:r>
      <w:r w:rsidRPr="00FF4196">
        <w:rPr>
          <w:lang w:val="en-US"/>
        </w:rPr>
        <w:t>(2): 153-162.</w:t>
      </w:r>
    </w:p>
    <w:p w14:paraId="436EDB96" w14:textId="77777777" w:rsidR="00E56A40" w:rsidRPr="00FF4196" w:rsidRDefault="00E56A40" w:rsidP="00E56A40">
      <w:pPr>
        <w:pStyle w:val="endnotebibliography"/>
        <w:rPr>
          <w:lang w:val="en-US"/>
        </w:rPr>
      </w:pPr>
      <w:r w:rsidRPr="00FF4196">
        <w:rPr>
          <w:lang w:val="en-US"/>
        </w:rPr>
        <w:t>            An experiment was conducted to determine the effect of incorporating Jerusalem artichoke (JA) as a prebiotic in the diet of Indian leopards (n = 11 adults) fed a meat-on-bone diet. The trial consisted of three periods (A1 , B, and A2 ). Each period comprised 17 days of adaptation and four days of collection. During the control periods (A1 and A2 ), the leopards were fed their normal zoo diets of 2.5-3 kg of buffalo meat-on-bone six days a week without any supplement. During trial B, meat-on-bone diets of the leopards were supplemented with JA at 2% of dietary dry matter (DM). Meat consumption was similar among the treatments. Supplementation of JA decreased the digestibility of crude protein (P &lt; 0.01). Digestibilities of organic matter and ether extract were similar among the treatments. Serum concentrations of urea and triglycerides were lower (P &lt; 0.05) when JA was added to the diet. Incorporation of JA to the basal diet increased fecal concentrations of acetate (P &lt; 0.01), butyrate (P &lt; 0.01), lactate (P &lt; 0.01), Lactobacillus spp., and Bifidobacterium spp. (P &lt; 0.01) with a simultaneous decrease in the concentration of ammonia (P &lt; 0.01), Clostridia spp. (P &lt; 0.01), and fecal pH (P &lt; 0.01). Fecal microbial profiles and hind gut fermentation were improved, without any adverse effects on feed consumption, nutrient utilization, and serum metabolite profiles. Results of this experiment showed that feeding JA at 2% DM in the whole diet could be potentially beneficial for captive Indian leopards fed meat-on-bone diets.</w:t>
      </w:r>
    </w:p>
    <w:p w14:paraId="0EEAF218" w14:textId="77777777" w:rsidR="00E56A40" w:rsidRPr="00FF4196" w:rsidRDefault="00E56A40" w:rsidP="00E56A40">
      <w:pPr>
        <w:pStyle w:val="endnotebibliography"/>
        <w:rPr>
          <w:lang w:val="en-US"/>
        </w:rPr>
      </w:pPr>
      <w:r w:rsidRPr="00FF4196">
        <w:rPr>
          <w:lang w:val="en-US"/>
        </w:rPr>
        <w:t> </w:t>
      </w:r>
    </w:p>
    <w:p w14:paraId="66564C12" w14:textId="77777777" w:rsidR="00E56A40" w:rsidRPr="00FF4196" w:rsidRDefault="00E56A40" w:rsidP="00E56A40">
      <w:pPr>
        <w:pStyle w:val="endnotebibliography"/>
        <w:rPr>
          <w:lang w:val="en-US"/>
        </w:rPr>
      </w:pPr>
      <w:r w:rsidRPr="00FF4196">
        <w:rPr>
          <w:lang w:val="en-US"/>
        </w:rPr>
        <w:t xml:space="preserve">Rios-de Alvarez, L., et al. (2012). "In vitro screening of plant lectins and tropical plant extracts for anthelmintic properties." </w:t>
      </w:r>
      <w:r w:rsidRPr="00FF4196">
        <w:rPr>
          <w:u w:val="single"/>
          <w:lang w:val="en-US"/>
        </w:rPr>
        <w:t>Vet Parasitol</w:t>
      </w:r>
      <w:r w:rsidRPr="00FF4196">
        <w:rPr>
          <w:lang w:val="en-US"/>
        </w:rPr>
        <w:t xml:space="preserve"> </w:t>
      </w:r>
      <w:r w:rsidRPr="00FF4196">
        <w:rPr>
          <w:rStyle w:val="Pogrubienie"/>
          <w:lang w:val="en-US"/>
        </w:rPr>
        <w:t>186</w:t>
      </w:r>
      <w:r w:rsidRPr="00FF4196">
        <w:rPr>
          <w:lang w:val="en-US"/>
        </w:rPr>
        <w:t>(3-4): 390-398.</w:t>
      </w:r>
    </w:p>
    <w:p w14:paraId="17B14813" w14:textId="77777777" w:rsidR="00E56A40" w:rsidRPr="00FF4196" w:rsidRDefault="00E56A40" w:rsidP="00E56A40">
      <w:pPr>
        <w:pStyle w:val="endnotebibliography"/>
        <w:rPr>
          <w:lang w:val="en-US"/>
        </w:rPr>
      </w:pPr>
      <w:r w:rsidRPr="00FF4196">
        <w:rPr>
          <w:lang w:val="en-US"/>
        </w:rPr>
        <w:t xml:space="preserve">            Lectins are plant secondary metabolites (PSM) found in many forages and which may confer anthelmintic properties to gastrointestinal parasites through disrupting the development of parasitic larvae throughout its life cycle. In experiment 1, the ability of the plant lectins jacalin (JAC), concanavalin A (Con A), phytohemagglutinin E2L2 (PHA-E2L2), phytohemagglutinin L4 (PHA-L4), phytohemagglutinin E3L (PHA-E3L), kidney bean albumin (KBA), Robinia pseudoacacia agglutinin (RPA), Maackia amurensis lectin (MAA), Maclura pomifera agglutinin (MAA), Dolichos biflorus agglutinin (DBA), wheat germ agglutinin (WGA) and Galanthus nivalis agglutinin (GNA) to disrupt the feeding of the first stage larvae (L(1)) of the sheep gastro-intestinal nematodes (GIN) Teladorsagia circumcincta, Haemonchus contortus and Trichostrongylus colubriformis was investigated using a larval </w:t>
      </w:r>
      <w:r w:rsidRPr="00FF4196">
        <w:rPr>
          <w:lang w:val="en-US"/>
        </w:rPr>
        <w:lastRenderedPageBreak/>
        <w:t>feeding inhibition test (LFIT). Only PHA-E3L, WGA and Con A had a potent effect on disrupting larval feeding of all of the three species of GIN investigated. The lectin concentration required to inhibit feeding in 50% of L(1) (IC50) was 7.3+/-1.2, 8.3+/-1.4 and 4.3+/-1.7 mug/ml for PHA-E3L; 59.1+/-32.4, 58.7+/-11.9 and 8.1+/-7.0 mug/ml for Con A and 78.9+/-11.2, 69.4+/-8.1 and 28.0+/-14.1 mug/ml for WGA for T. circumcincta, H. contortus and T. colubriformis larvae, respectively (P=0.006). The addition of the lectin inhibitors fetuin, glucose/mannose or N-acetylglucosamine for PHA-E3L, Con A and WGA, respectively, caused an increase in the proportion of larvae that had fed at all concentrations for PHA-E3L only. In experiment 2, the effect of extracts from the tropical plants Azadiractha indica, Trichanthera gigantea, Morus alba, Gliricidia sepium and Leucaena leucocephala on the feeding behaviour of H. contortus L(1,) was examined. A. indica, T. gigantea and M. alba failed to inhibit 50% of larvae from feeding at concentrations up to 10mg plant extract per ml. In contrast, both G. sepium and L. leucocephala demonstrated a dose-dependent effect on larval feeding with respective IC50 estimates (mean+/-s.e.) of 0.015 mg/ml +/-0.001 and 3.465 mg/ml +/-0.144, effects which were partly reversed by the inclusion of either the tannin inhibitor polyethylene glycol or the lectin inhibitor Fetuin. These studies demonstrate that plant lectins can have an inhibitory effect on the feeding behaviour of first stage larvae of ovine GIN in vitro. Moreover they also provide novel evidence that lectins may contribute to the anthelmintic properties of some tropical forage plant extracts, such as G. sepium and L. leucocephala.</w:t>
      </w:r>
    </w:p>
    <w:p w14:paraId="0726CC36" w14:textId="77777777" w:rsidR="00E56A40" w:rsidRPr="00FF4196" w:rsidRDefault="00E56A40" w:rsidP="00E56A40">
      <w:pPr>
        <w:pStyle w:val="endnotebibliography"/>
        <w:rPr>
          <w:lang w:val="en-US"/>
        </w:rPr>
      </w:pPr>
      <w:r w:rsidRPr="00FF4196">
        <w:rPr>
          <w:lang w:val="en-US"/>
        </w:rPr>
        <w:t> </w:t>
      </w:r>
    </w:p>
    <w:p w14:paraId="7674D5C8" w14:textId="77777777" w:rsidR="00E56A40" w:rsidRPr="00FF4196" w:rsidRDefault="00E56A40" w:rsidP="00E56A40">
      <w:pPr>
        <w:pStyle w:val="endnotebibliography"/>
        <w:rPr>
          <w:lang w:val="en-US"/>
        </w:rPr>
      </w:pPr>
      <w:r w:rsidRPr="00FF4196">
        <w:rPr>
          <w:lang w:val="en-US"/>
        </w:rPr>
        <w:t xml:space="preserve">Rubel, I. A., et al. (2018). "Inulin rich carbohydrates extraction from Jerusalem artichoke (Helianthus tuberosus L.) tubers and application of different drying methods." </w:t>
      </w:r>
      <w:r w:rsidRPr="00FF4196">
        <w:rPr>
          <w:u w:val="single"/>
          <w:lang w:val="en-US"/>
        </w:rPr>
        <w:t>Food Res Int</w:t>
      </w:r>
      <w:r w:rsidRPr="00FF4196">
        <w:rPr>
          <w:lang w:val="en-US"/>
        </w:rPr>
        <w:t xml:space="preserve"> </w:t>
      </w:r>
      <w:r w:rsidRPr="00FF4196">
        <w:rPr>
          <w:rStyle w:val="Pogrubienie"/>
          <w:lang w:val="en-US"/>
        </w:rPr>
        <w:t>103</w:t>
      </w:r>
      <w:r w:rsidRPr="00FF4196">
        <w:rPr>
          <w:lang w:val="en-US"/>
        </w:rPr>
        <w:t>: 226-233.</w:t>
      </w:r>
    </w:p>
    <w:p w14:paraId="7B3A5343" w14:textId="77777777" w:rsidR="00E56A40" w:rsidRPr="00FF4196" w:rsidRDefault="00E56A40" w:rsidP="00E56A40">
      <w:pPr>
        <w:pStyle w:val="endnotebibliography"/>
        <w:rPr>
          <w:lang w:val="en-US"/>
        </w:rPr>
      </w:pPr>
      <w:r w:rsidRPr="00FF4196">
        <w:rPr>
          <w:lang w:val="en-US"/>
        </w:rPr>
        <w:t>            In this study the operational extraction variables to obtain higher yields of inulin from Jerusalem artichoke tubers (JAT), as well as the optimal conditions to obtain a stable and dispersible powdered product by either spray or freeze drying, were studied. With this purpose, the powder yield, moisture content, water activity and flowability or products obtained by different experimental conditions were analyzed. Inulin rich carbohydrates (IRC) extraction was performed from lyophilized and ground tubers employing distilled hot water as solvent. It was proved that the solid:solvent ratio (S:S) was the critical variable in the extraction process, followed by temperature. Thus, the IRC extraction was optimal without ultrasound assistance, at 76 degrees C, employing a S:S of 1:16, during 90min. In addition, the powder obtained by freeze-drying of the IRC extract showed advantages respect to powders obtained by spray-drying regarding the yield and considering that maltodextrin was not necessary as encapsulation agent. In another hand, spray drying process provided IRC powered materials with appropriate flow properties, and taking into account cost and time of production, this method should be considered as an alternative of freeze-drying.</w:t>
      </w:r>
    </w:p>
    <w:p w14:paraId="07992A0E" w14:textId="77777777" w:rsidR="00E56A40" w:rsidRPr="00FF4196" w:rsidRDefault="00E56A40" w:rsidP="00E56A40">
      <w:pPr>
        <w:pStyle w:val="endnotebibliography"/>
        <w:rPr>
          <w:lang w:val="en-US"/>
        </w:rPr>
      </w:pPr>
      <w:r w:rsidRPr="00FF4196">
        <w:rPr>
          <w:lang w:val="en-US"/>
        </w:rPr>
        <w:t> </w:t>
      </w:r>
    </w:p>
    <w:p w14:paraId="19EF002E" w14:textId="77777777" w:rsidR="00E56A40" w:rsidRPr="00FF4196" w:rsidRDefault="00E56A40" w:rsidP="00E56A40">
      <w:pPr>
        <w:pStyle w:val="endnotebibliography"/>
        <w:rPr>
          <w:lang w:val="en-US"/>
        </w:rPr>
      </w:pPr>
      <w:r w:rsidRPr="00FF4196">
        <w:rPr>
          <w:lang w:val="en-US"/>
        </w:rPr>
        <w:t xml:space="preserve">Serafini-Fracassini, D., et al. (1988). "First evidence for polyamine conjugation mediated by an enzymic activity in plants." </w:t>
      </w:r>
      <w:r w:rsidRPr="00FF4196">
        <w:rPr>
          <w:u w:val="single"/>
          <w:lang w:val="en-US"/>
        </w:rPr>
        <w:t>Plant Physiol</w:t>
      </w:r>
      <w:r w:rsidRPr="00FF4196">
        <w:rPr>
          <w:lang w:val="en-US"/>
        </w:rPr>
        <w:t xml:space="preserve"> </w:t>
      </w:r>
      <w:r w:rsidRPr="00FF4196">
        <w:rPr>
          <w:rStyle w:val="Pogrubienie"/>
          <w:lang w:val="en-US"/>
        </w:rPr>
        <w:t>87</w:t>
      </w:r>
      <w:r w:rsidRPr="00FF4196">
        <w:rPr>
          <w:lang w:val="en-US"/>
        </w:rPr>
        <w:t>(3): 757-761.</w:t>
      </w:r>
    </w:p>
    <w:p w14:paraId="00E694D2" w14:textId="77777777" w:rsidR="00E56A40" w:rsidRPr="00FF4196" w:rsidRDefault="00E56A40" w:rsidP="00E56A40">
      <w:pPr>
        <w:pStyle w:val="endnotebibliography"/>
        <w:rPr>
          <w:lang w:val="en-US"/>
        </w:rPr>
      </w:pPr>
      <w:r w:rsidRPr="00FF4196">
        <w:rPr>
          <w:lang w:val="en-US"/>
        </w:rPr>
        <w:t xml:space="preserve">            An enzyme activity, found for the first time in plants, mainly located in the 22,000g supernatant of the crude extract of sprout apices of Helianthus tuberosus L. cv OB1 tubers, is able in vitro to covalently bind polyamines to endogenous substrates of different molecular </w:t>
      </w:r>
      <w:r w:rsidRPr="00FF4196">
        <w:rPr>
          <w:lang w:val="en-US"/>
        </w:rPr>
        <w:lastRenderedPageBreak/>
        <w:t>weights. The major assay parameters, such as pH, dithiothreitol, and extract concentrations were optimized. The time course of the reaction, the dependence on putrescine concentration, its competition with histamine, the capacity to bind spermidine and spermine better than putrescine, the stability of the reaction product and analysis of the latter by sodium dodecyl sulfate polyacrylamide gel electrophoresis and thin-layer chromatography suggest that putrescine is linked to endogenous substrates by means of an enzyme reaction that shows some similarities with transglutaminase activities detected in animals. However, the activities of the crude extract and of a fraction eluted from a Sephadex G25 column were not affected by CaCl(2) concentrations lower or equal to 5 millimolar; 4 or 10 millimolar EGTA caused a very small reduction; higher concentrations of CaCl(2) and 15 millimolar or more of EDTA were inhibitory. N,N'-dimethylcasein was not recognized as a substrate. These data indicate that this activity also displays some characteristics which are different from those of animal transglutaminases.</w:t>
      </w:r>
    </w:p>
    <w:p w14:paraId="28E7E0EE" w14:textId="77777777" w:rsidR="00E56A40" w:rsidRPr="00FF4196" w:rsidRDefault="00E56A40" w:rsidP="00E56A40">
      <w:pPr>
        <w:pStyle w:val="endnotebibliography"/>
        <w:rPr>
          <w:lang w:val="en-US"/>
        </w:rPr>
      </w:pPr>
      <w:r w:rsidRPr="00FF4196">
        <w:rPr>
          <w:lang w:val="en-US"/>
        </w:rPr>
        <w:t> </w:t>
      </w:r>
    </w:p>
    <w:p w14:paraId="62ACDD7B" w14:textId="77777777" w:rsidR="00E56A40" w:rsidRPr="00FF4196" w:rsidRDefault="00E56A40" w:rsidP="00E56A40">
      <w:pPr>
        <w:pStyle w:val="endnotebibliography"/>
        <w:rPr>
          <w:lang w:val="en-US"/>
        </w:rPr>
      </w:pPr>
      <w:r w:rsidRPr="00FF4196">
        <w:rPr>
          <w:lang w:val="en-US"/>
        </w:rPr>
        <w:t xml:space="preserve">Shang, H. M., et al. (2017). "Extraction optimization and influences of drying methods on antioxidant activities of polysaccharide from cup plant (Silphium perfoliatum L.)." </w:t>
      </w:r>
      <w:r w:rsidRPr="00FF4196">
        <w:rPr>
          <w:u w:val="single"/>
          <w:lang w:val="en-US"/>
        </w:rPr>
        <w:t>PLoS One</w:t>
      </w:r>
      <w:r w:rsidRPr="00FF4196">
        <w:rPr>
          <w:lang w:val="en-US"/>
        </w:rPr>
        <w:t xml:space="preserve"> </w:t>
      </w:r>
      <w:r w:rsidRPr="00FF4196">
        <w:rPr>
          <w:rStyle w:val="Pogrubienie"/>
          <w:lang w:val="en-US"/>
        </w:rPr>
        <w:t>12</w:t>
      </w:r>
      <w:r w:rsidRPr="00FF4196">
        <w:rPr>
          <w:lang w:val="en-US"/>
        </w:rPr>
        <w:t>(8): e0183001.</w:t>
      </w:r>
    </w:p>
    <w:p w14:paraId="1CB9A6EB" w14:textId="77777777" w:rsidR="00E56A40" w:rsidRPr="00FF4196" w:rsidRDefault="00E56A40" w:rsidP="00E56A40">
      <w:pPr>
        <w:pStyle w:val="endnotebibliography"/>
        <w:rPr>
          <w:lang w:val="en-US"/>
        </w:rPr>
      </w:pPr>
      <w:r w:rsidRPr="00FF4196">
        <w:rPr>
          <w:lang w:val="en-US"/>
        </w:rPr>
        <w:t>            Response surface methodology (RSM) was used to investigate the extraction condition of polysaccharide from cup plant (Silphium perfoliatum L.) (named CPP). Water to raw material ratio (10-30 mL/g), extraction time (40-80 min) and extraction temperature (60-100 degrees C) were set as the 3 independent variables, and their effects on the extraction yield of CPP were measured. In addition, the effects of drying methods including hot air drying (HD), vacuum drying (VD) and freeze drying (FD) on the antioxidant activities of CPP were evaluated. The results showed that the optimal condition to extract CPP was: water to raw material ratio (15 mL/g), extraction time (61 min), and extraction temperature (97 degrees C), a maximum CPP yield of 6.49% was obtained under this condition. CPP drying with FD method showed stronger reducing power (0.943 at 6 mg/mL) and radical scavenging capacities against DPPH radical (75.71% at 1.2 mg/mL) and ABTS radical (98.06 at 1.6 mg/mL) than CPP drying with HD and VD methods. Therefore, freeze drying served as a good method for keeping the antioxidant activities of polysaccharide from cup plant. The polysaccharide from cup plant has potential to use as a natural antioxidant.</w:t>
      </w:r>
    </w:p>
    <w:p w14:paraId="19453E78" w14:textId="77777777" w:rsidR="00E56A40" w:rsidRPr="00FF4196" w:rsidRDefault="00E56A40" w:rsidP="00E56A40">
      <w:pPr>
        <w:pStyle w:val="endnotebibliography"/>
        <w:rPr>
          <w:lang w:val="en-US"/>
        </w:rPr>
      </w:pPr>
      <w:r w:rsidRPr="00FF4196">
        <w:rPr>
          <w:lang w:val="en-US"/>
        </w:rPr>
        <w:t> </w:t>
      </w:r>
    </w:p>
    <w:p w14:paraId="107A44CF" w14:textId="77777777" w:rsidR="00E56A40" w:rsidRPr="00FF4196" w:rsidRDefault="00E56A40" w:rsidP="00E56A40">
      <w:pPr>
        <w:pStyle w:val="endnotebibliography"/>
        <w:rPr>
          <w:lang w:val="en-US"/>
        </w:rPr>
      </w:pPr>
      <w:r w:rsidRPr="00FF4196">
        <w:rPr>
          <w:lang w:val="en-US"/>
        </w:rPr>
        <w:t xml:space="preserve">Spagnoletta, A., et al. (2002). "Purification and characterization of the reconstitutively active adenine nucleotide carrier from mitochondria of Jerusalem artichoke (Helianthus tuberosus L.) tubers." </w:t>
      </w:r>
      <w:r w:rsidRPr="00FF4196">
        <w:rPr>
          <w:u w:val="single"/>
          <w:lang w:val="en-US"/>
        </w:rPr>
        <w:t>J Bioenerg Biomembr</w:t>
      </w:r>
      <w:r w:rsidRPr="00FF4196">
        <w:rPr>
          <w:lang w:val="en-US"/>
        </w:rPr>
        <w:t xml:space="preserve"> </w:t>
      </w:r>
      <w:r w:rsidRPr="00FF4196">
        <w:rPr>
          <w:rStyle w:val="Pogrubienie"/>
          <w:lang w:val="en-US"/>
        </w:rPr>
        <w:t>34</w:t>
      </w:r>
      <w:r w:rsidRPr="00FF4196">
        <w:rPr>
          <w:lang w:val="en-US"/>
        </w:rPr>
        <w:t>(6): 465-472.</w:t>
      </w:r>
    </w:p>
    <w:p w14:paraId="3DAE6A0E" w14:textId="77777777" w:rsidR="00E56A40" w:rsidRPr="00FF4196" w:rsidRDefault="00E56A40" w:rsidP="00E56A40">
      <w:pPr>
        <w:pStyle w:val="endnotebibliography"/>
        <w:rPr>
          <w:lang w:val="en-US"/>
        </w:rPr>
      </w:pPr>
      <w:r w:rsidRPr="00FF4196">
        <w:rPr>
          <w:lang w:val="en-US"/>
        </w:rPr>
        <w:t xml:space="preserve">            The adenine nucleotide carrier from Jerusalem artichoke (Helianthus tuberosus L.) tubers mitochondria was solubilized with Triton X-100 and purified by sequential chromatography on hydroxapatite and Matrex Gel Blue B in the presence of cardiolipin and asolectin. SDS gel electrophoresis of the purified fraction showed a single polypeptide band with an apparent molecular mass of 33 kDa. When reconstituted in liposomes, the adenine nucleotide carrier catalyzed a pyridoxal 5'-phosphate-sensitive ATP/ATP exchange. It was purified 75-fold with a recovery of 15% and a protein yield of 0.18% with respect to the mitochondrial extract. Among the various substrates and inhibitors tested, the reconstituted protein transported only ATP, ADP, and GTP and was inhibited by bongkrekate, </w:t>
      </w:r>
      <w:r w:rsidRPr="00FF4196">
        <w:rPr>
          <w:lang w:val="en-US"/>
        </w:rPr>
        <w:lastRenderedPageBreak/>
        <w:t>phenylisothiocyanate, pyridoxal 5'-phosphate, mersalyl and p-hydroxymercuribenzoate (but not N-ethylmaleimide). Atractyloside and carboxyatractyloside (at concentrations normally inhibitory in animal and plant mitochondria) were without effect in Jerusalem artichoke tubers mitochondria. Vmax of the reconstituted ATP/ATP exchange was determined to be 0.53 micromol/min per mg protein at 25 degrees C. The half-saturation constant Km and the corresponding inhibition constant Ki were 20.4 microM for ATP and 45 microM for ADP. The activation energy of the ATP/ATP exchange was 28 KJ/mol between 5 and 30 degrees C. The N-terminal amino acid partial sequence of the purified protein showed a partial homology with the ANT protein purified from mitochondria of maize shoots.</w:t>
      </w:r>
    </w:p>
    <w:p w14:paraId="67275F0B" w14:textId="77777777" w:rsidR="00E56A40" w:rsidRPr="00FF4196" w:rsidRDefault="00E56A40" w:rsidP="00E56A40">
      <w:pPr>
        <w:pStyle w:val="endnotebibliography"/>
        <w:rPr>
          <w:lang w:val="en-US"/>
        </w:rPr>
      </w:pPr>
      <w:r w:rsidRPr="00FF4196">
        <w:rPr>
          <w:lang w:val="en-US"/>
        </w:rPr>
        <w:t> </w:t>
      </w:r>
    </w:p>
    <w:p w14:paraId="6C761F88" w14:textId="77777777" w:rsidR="00E56A40" w:rsidRPr="00FF4196" w:rsidRDefault="00E56A40" w:rsidP="00E56A40">
      <w:pPr>
        <w:pStyle w:val="endnotebibliography"/>
        <w:rPr>
          <w:lang w:val="en-US"/>
        </w:rPr>
      </w:pPr>
      <w:r w:rsidRPr="00FF4196">
        <w:rPr>
          <w:lang w:val="en-US"/>
        </w:rPr>
        <w:t xml:space="preserve">Srinameb, B. O., et al. (2015). "Preparation of Inulin Powder from Jerusalem Artichoke (Helianthus tuberosus L.) Tuber." </w:t>
      </w:r>
      <w:r w:rsidRPr="00FF4196">
        <w:rPr>
          <w:u w:val="single"/>
          <w:lang w:val="en-US"/>
        </w:rPr>
        <w:t>Plant Foods Hum Nutr</w:t>
      </w:r>
      <w:r w:rsidRPr="00FF4196">
        <w:rPr>
          <w:lang w:val="en-US"/>
        </w:rPr>
        <w:t xml:space="preserve"> </w:t>
      </w:r>
      <w:r w:rsidRPr="00FF4196">
        <w:rPr>
          <w:rStyle w:val="Pogrubienie"/>
          <w:lang w:val="en-US"/>
        </w:rPr>
        <w:t>70</w:t>
      </w:r>
      <w:r w:rsidRPr="00FF4196">
        <w:rPr>
          <w:lang w:val="en-US"/>
        </w:rPr>
        <w:t>(2): 221-226.</w:t>
      </w:r>
    </w:p>
    <w:p w14:paraId="0AA48BE3" w14:textId="77777777" w:rsidR="00E56A40" w:rsidRPr="00FF4196" w:rsidRDefault="00E56A40" w:rsidP="00E56A40">
      <w:pPr>
        <w:pStyle w:val="endnotebibliography"/>
        <w:rPr>
          <w:lang w:val="en-US"/>
        </w:rPr>
      </w:pPr>
      <w:r w:rsidRPr="00FF4196">
        <w:rPr>
          <w:lang w:val="en-US"/>
        </w:rPr>
        <w:t>            The complete procedure for the production of inulin powder from Jerusalem artichoke tubers (JAT) was investigated. The procedure consists of isolation of inulin from JAT, elimination of color from the inulin extract and solidification. Washed tubers were first sliced, dried in a 60 degrees C oven for 10 h and then milled and sieved into a powder. Inulin was isolated from the JAT powder by hot water extraction using an accelerated solvent extractor (ASE). The effects of temperature and time for the extraction were investigated. The highest extraction efficiency was obtained at the extraction temperature of 80 degrees C for 20 min. The color of the extract was eliminated using ion exchange process with diethylaminoethyl cellulose as the sorbent. The inulin powder was subsequently obtained by freeze drying. Inulin content and inulin profiles were monitored to evaluate the efficiencies of the complete procedure. The inulin content was indirectly determined by spectrophotometry from free and total fructose measurements using potassium iodide. The inulin profile was monitored using high performance anion exchange chromatography equipped with integrated pulse amperometric detection (HPAEC-PAD). The proposed method provided the inulin production yield of 92.5%. The present procedure is fast, simple and effective for production of inulin powder from JAT. In addition, infrared spectra and some physico-chemical properties of the obtained inulin powder were determined and compared with the standard inulin.</w:t>
      </w:r>
    </w:p>
    <w:p w14:paraId="65973118" w14:textId="77777777" w:rsidR="00E56A40" w:rsidRPr="00FF4196" w:rsidRDefault="00E56A40" w:rsidP="00E56A40">
      <w:pPr>
        <w:pStyle w:val="endnotebibliography"/>
        <w:rPr>
          <w:lang w:val="en-US"/>
        </w:rPr>
      </w:pPr>
      <w:r w:rsidRPr="00FF4196">
        <w:rPr>
          <w:lang w:val="en-US"/>
        </w:rPr>
        <w:t> </w:t>
      </w:r>
    </w:p>
    <w:p w14:paraId="7443574F" w14:textId="77777777" w:rsidR="00E56A40" w:rsidRPr="00FF4196" w:rsidRDefault="00E56A40" w:rsidP="00E56A40">
      <w:pPr>
        <w:pStyle w:val="endnotebibliography"/>
        <w:rPr>
          <w:lang w:val="en-US"/>
        </w:rPr>
      </w:pPr>
      <w:r w:rsidRPr="00FF4196">
        <w:rPr>
          <w:lang w:val="en-US"/>
        </w:rPr>
        <w:t xml:space="preserve">Sun, P. C., et al. (2015). "Preliminary enrichment and separation of chlorogenic acid from Helianthus tuberosus L. leaves extract by macroporous resins." </w:t>
      </w:r>
      <w:r w:rsidRPr="00FF4196">
        <w:rPr>
          <w:u w:val="single"/>
          <w:lang w:val="en-US"/>
        </w:rPr>
        <w:t>Food Chem</w:t>
      </w:r>
      <w:r w:rsidRPr="00FF4196">
        <w:rPr>
          <w:lang w:val="en-US"/>
        </w:rPr>
        <w:t xml:space="preserve"> </w:t>
      </w:r>
      <w:r w:rsidRPr="00FF4196">
        <w:rPr>
          <w:rStyle w:val="Pogrubienie"/>
          <w:lang w:val="en-US"/>
        </w:rPr>
        <w:t>168</w:t>
      </w:r>
      <w:r w:rsidRPr="00FF4196">
        <w:rPr>
          <w:lang w:val="en-US"/>
        </w:rPr>
        <w:t>: 55-62.</w:t>
      </w:r>
    </w:p>
    <w:p w14:paraId="567959A0" w14:textId="77777777" w:rsidR="00E56A40" w:rsidRPr="00FF4196" w:rsidRDefault="00E56A40" w:rsidP="00E56A40">
      <w:pPr>
        <w:pStyle w:val="endnotebibliography"/>
        <w:rPr>
          <w:lang w:val="en-US"/>
        </w:rPr>
      </w:pPr>
      <w:r w:rsidRPr="00FF4196">
        <w:rPr>
          <w:lang w:val="en-US"/>
        </w:rPr>
        <w:t>            In the present study, a simple and efficient method for the preparative separation of 3-CQA from the extract of Helianthus tuberosus leaves with macroporous resins was studied. ADS-21 showed much higher adsorption capacity and better adsorption/desorption properties for 3-CQA among the tested resins. The adsorption of 3-CQA on ADS-21 resin at 25 degrees C was fitted best to the Langmuir isotherm model and pseudo-second-order kinetic model. Dynamic adsorption/desorption experiments were carried out in a glass column packed with ADS-21 to optimise the separation process of 3-CQA from H. tuberosus leaves extract. After one treatment with ADS-21, the content of 3-CQA in the product was increased 5.42-fold, from 12.0% to 65.2%, with a recovery yield of 89.4%. The results demonstrated that the method was suitable for large-scale separation and manufacture of 3-CQA from H. tuberosus leaves.</w:t>
      </w:r>
    </w:p>
    <w:p w14:paraId="08702692" w14:textId="77777777" w:rsidR="00E56A40" w:rsidRPr="00FF4196" w:rsidRDefault="00E56A40" w:rsidP="00E56A40">
      <w:pPr>
        <w:pStyle w:val="endnotebibliography"/>
        <w:rPr>
          <w:lang w:val="en-US"/>
        </w:rPr>
      </w:pPr>
      <w:r w:rsidRPr="00FF4196">
        <w:rPr>
          <w:lang w:val="en-US"/>
        </w:rPr>
        <w:lastRenderedPageBreak/>
        <w:t> </w:t>
      </w:r>
    </w:p>
    <w:p w14:paraId="5184618A" w14:textId="77777777" w:rsidR="00E56A40" w:rsidRPr="00FF4196" w:rsidRDefault="00E56A40" w:rsidP="00E56A40">
      <w:pPr>
        <w:pStyle w:val="endnotebibliography"/>
        <w:rPr>
          <w:lang w:val="en-US"/>
        </w:rPr>
      </w:pPr>
      <w:r w:rsidRPr="00FF4196">
        <w:rPr>
          <w:lang w:val="en-US"/>
        </w:rPr>
        <w:t xml:space="preserve">Tian, F. and J. L. McLaughlin (2000). "Bioactive flavonoids from the black locust tree, robinia pseudoacacia." </w:t>
      </w:r>
      <w:r w:rsidRPr="00FF4196">
        <w:rPr>
          <w:u w:val="single"/>
          <w:lang w:val="en-US"/>
        </w:rPr>
        <w:t>Pharm Biol</w:t>
      </w:r>
      <w:r w:rsidRPr="00FF4196">
        <w:rPr>
          <w:lang w:val="en-US"/>
        </w:rPr>
        <w:t xml:space="preserve"> </w:t>
      </w:r>
      <w:r w:rsidRPr="00FF4196">
        <w:rPr>
          <w:rStyle w:val="Pogrubienie"/>
          <w:lang w:val="en-US"/>
        </w:rPr>
        <w:t>38</w:t>
      </w:r>
      <w:r w:rsidRPr="00FF4196">
        <w:rPr>
          <w:lang w:val="en-US"/>
        </w:rPr>
        <w:t>(3): 229-234.</w:t>
      </w:r>
    </w:p>
    <w:p w14:paraId="5E9ED54E" w14:textId="77777777" w:rsidR="00E56A40" w:rsidRPr="00FF4196" w:rsidRDefault="00E56A40" w:rsidP="00E56A40">
      <w:pPr>
        <w:pStyle w:val="endnotebibliography"/>
        <w:rPr>
          <w:lang w:val="en-US"/>
        </w:rPr>
      </w:pPr>
      <w:r w:rsidRPr="00FF4196">
        <w:rPr>
          <w:lang w:val="en-US"/>
        </w:rPr>
        <w:t>            Five flavonoids, acacetin ( 1 ), secundiflorol I ( 2 ), mucronulatol ( 3 ), isomucronulatol ( 4 ), and isovestitol ( 5 ) were isolated, with the fractionation being guided by the brine shrimp lethality test (BST), from the ethanolic extract of the whole plant of Robinia pseudoacacia (Fabaceae). The structures of 1 - 5 were identified by spectral analyses. Compounds 2 - 5 are, for the first time, reported from this species. Corrections have been made for the previous literature assignments of the 13 C NMR resonances of compounds 1 - 3 . Bioactivities in BST and cytotoxicities against a panel of six solid human tumor cell lines were determined, and 1 was significantly cytotoxic in the prostate cell line (PC-3).</w:t>
      </w:r>
    </w:p>
    <w:p w14:paraId="0E69F9F0" w14:textId="77777777" w:rsidR="00E56A40" w:rsidRPr="00FF4196" w:rsidRDefault="00E56A40" w:rsidP="00E56A40">
      <w:pPr>
        <w:pStyle w:val="endnotebibliography"/>
        <w:rPr>
          <w:lang w:val="en-US"/>
        </w:rPr>
      </w:pPr>
      <w:r w:rsidRPr="00FF4196">
        <w:rPr>
          <w:lang w:val="en-US"/>
        </w:rPr>
        <w:t> </w:t>
      </w:r>
    </w:p>
    <w:p w14:paraId="12A6358C" w14:textId="77777777" w:rsidR="00E56A40" w:rsidRPr="00FF4196" w:rsidRDefault="00E56A40" w:rsidP="00E56A40">
      <w:pPr>
        <w:pStyle w:val="endnotebibliography"/>
        <w:rPr>
          <w:lang w:val="en-US"/>
        </w:rPr>
      </w:pPr>
      <w:r w:rsidRPr="00FF4196">
        <w:rPr>
          <w:lang w:val="en-US"/>
        </w:rPr>
        <w:t xml:space="preserve">Wang, Y. M., et al. (2017). "Antioxidant and alpha-glucosidase inhibitory ingredients identified from Jerusalem artichoke flowers." </w:t>
      </w:r>
      <w:r w:rsidRPr="00FF4196">
        <w:rPr>
          <w:u w:val="single"/>
          <w:lang w:val="en-US"/>
        </w:rPr>
        <w:t>Nat Prod Res</w:t>
      </w:r>
      <w:r w:rsidRPr="00FF4196">
        <w:rPr>
          <w:lang w:val="en-US"/>
        </w:rPr>
        <w:t>: 1-5.</w:t>
      </w:r>
    </w:p>
    <w:p w14:paraId="0D60E8AB" w14:textId="77777777" w:rsidR="00E56A40" w:rsidRPr="00FF4196" w:rsidRDefault="00E56A40" w:rsidP="00E56A40">
      <w:pPr>
        <w:pStyle w:val="endnotebibliography"/>
        <w:rPr>
          <w:lang w:val="en-US"/>
        </w:rPr>
      </w:pPr>
      <w:r w:rsidRPr="00FF4196">
        <w:rPr>
          <w:lang w:val="en-US"/>
        </w:rPr>
        <w:t>            Jerusalem artichoke (JA, Helianthus tuberosus L.) has been researched extensively due to its wide range of uses, but there are limited studies on its flowers. In this study, we report the first detailed phytochemical study on JA flowers, which yielded 21 compounds. Compound 4 was identified as a major water-soluble yellow pigment of JA flowers. In addition, the methanol extract of JA flowers and the isolates were evaluated for their antioxidant and alpha-glucosidase inhibitory activities. Among the tested compounds, compound 13 showed the strongest ABTS(+) free radical scavenging activity with SC50 value of 2.30 +/- 0.13 mug/mL, and compound 6 showed most potent alpha-glucosidase inhibitory activity with inhibition rate of 60.0% +/- 10.3% at a concentration of 250 mug/mL. Results showed that methanol extract of JA flowers exhibited antioxidant and alpha-glucosidase inhibitory activities which could be attributed to its phenolic ingredients including chlorogenic acid derivatives, flavonoids and phenols.</w:t>
      </w:r>
    </w:p>
    <w:p w14:paraId="59CAB36C" w14:textId="77777777" w:rsidR="00E56A40" w:rsidRPr="00FF4196" w:rsidRDefault="00E56A40" w:rsidP="00E56A40">
      <w:pPr>
        <w:pStyle w:val="endnotebibliography"/>
        <w:rPr>
          <w:lang w:val="en-US"/>
        </w:rPr>
      </w:pPr>
      <w:r w:rsidRPr="00FF4196">
        <w:rPr>
          <w:lang w:val="en-US"/>
        </w:rPr>
        <w:t> </w:t>
      </w:r>
    </w:p>
    <w:p w14:paraId="50522521" w14:textId="77777777" w:rsidR="00E56A40" w:rsidRPr="00FF4196" w:rsidRDefault="00E56A40" w:rsidP="00E56A40">
      <w:pPr>
        <w:pStyle w:val="endnotebibliography"/>
        <w:rPr>
          <w:lang w:val="en-US"/>
        </w:rPr>
      </w:pPr>
      <w:r w:rsidRPr="00FF4196">
        <w:rPr>
          <w:lang w:val="en-US"/>
        </w:rPr>
        <w:t xml:space="preserve">Watanabe, C., et al. (1998). "Effect of spikelets of Miscanthus sinensis on IgE-mediated biphasic cutaneous reaction in mice." </w:t>
      </w:r>
      <w:r w:rsidRPr="00FF4196">
        <w:rPr>
          <w:u w:val="single"/>
          <w:lang w:val="en-US"/>
        </w:rPr>
        <w:t>Planta Med</w:t>
      </w:r>
      <w:r w:rsidRPr="00FF4196">
        <w:rPr>
          <w:lang w:val="en-US"/>
        </w:rPr>
        <w:t xml:space="preserve"> </w:t>
      </w:r>
      <w:r w:rsidRPr="00FF4196">
        <w:rPr>
          <w:rStyle w:val="Pogrubienie"/>
          <w:lang w:val="en-US"/>
        </w:rPr>
        <w:t>64</w:t>
      </w:r>
      <w:r w:rsidRPr="00FF4196">
        <w:rPr>
          <w:lang w:val="en-US"/>
        </w:rPr>
        <w:t>(1): 12-17.</w:t>
      </w:r>
    </w:p>
    <w:p w14:paraId="7A67363B" w14:textId="77777777" w:rsidR="00E56A40" w:rsidRPr="00FF4196" w:rsidRDefault="00E56A40" w:rsidP="00E56A40">
      <w:pPr>
        <w:pStyle w:val="endnotebibliography"/>
        <w:rPr>
          <w:lang w:val="en-US"/>
        </w:rPr>
      </w:pPr>
      <w:r w:rsidRPr="00FF4196">
        <w:rPr>
          <w:lang w:val="en-US"/>
        </w:rPr>
        <w:t xml:space="preserve">            The effect of spikelets of Miscanthus sinensis Andersson (M. sinensis) on IgE-mediated biphasic cutaneous reactions was investigated in BALB/c mice. Mice were passively sensitized by an intravenous (i.v.) injection of monoclonal antidinitrophenol IgE antibody (anti-DNP IgE mAb), or actively by an intraperitoneal (i.p.) injection of DNP-derivatized ovalbumin (DNP-OVA) plus aluminium hydroxide gel (Alum) as an adjuvant. Skin reactions were elicited by an epicutaneous challenge of dinitrofluorobenzene (DNFB) and occurred biphasically with peak responses at 1 and 24 h in both animal models. The administrations of a nondialysable water extract of M. sinensis within 2 h before or after DNFB challenge via oral or i.p. route significantly inhibited the biphasic cutaneous reactions in passively and actively sensitized mice. The inhibitory effect was much stronger than those of a glucocorticoid, prednisolone, and histamine release inhibitor, amlexanox, as positive controls. The active component(s) was predominantly located in the glycoprotein fraction by gel chromatography. In the ears of DNFB-challenged mice, this fraction suppressed the </w:t>
      </w:r>
      <w:r w:rsidRPr="00FF4196">
        <w:rPr>
          <w:lang w:val="en-US"/>
        </w:rPr>
        <w:lastRenderedPageBreak/>
        <w:t>accumulation of inflammatory cells, including mast cells and neutrophils/macrophages. In addition, the biphasic ear swelling was also improved by an administration of the glycoprotein fraction 24 h before active sensitization. These findings indicate that the glycoprotein fraction of M. sinensis was able to inhibit not only the IgE-mediated allergic inflammatory reaction but also the IgE formation. Thus, this fraction may be a useful antiallergic therapy.</w:t>
      </w:r>
    </w:p>
    <w:p w14:paraId="64986E11" w14:textId="77777777" w:rsidR="00E56A40" w:rsidRPr="00FF4196" w:rsidRDefault="00E56A40" w:rsidP="00E56A40">
      <w:pPr>
        <w:pStyle w:val="endnotebibliography"/>
        <w:rPr>
          <w:lang w:val="en-US"/>
        </w:rPr>
      </w:pPr>
      <w:r w:rsidRPr="00FF4196">
        <w:rPr>
          <w:lang w:val="en-US"/>
        </w:rPr>
        <w:t> </w:t>
      </w:r>
    </w:p>
    <w:p w14:paraId="46C36D19" w14:textId="77777777" w:rsidR="00E56A40" w:rsidRPr="00FF4196" w:rsidRDefault="00E56A40" w:rsidP="00E56A40">
      <w:pPr>
        <w:pStyle w:val="endnotebibliography"/>
        <w:rPr>
          <w:lang w:val="en-US"/>
        </w:rPr>
      </w:pPr>
      <w:r w:rsidRPr="00FF4196">
        <w:rPr>
          <w:lang w:val="en-US"/>
        </w:rPr>
        <w:t xml:space="preserve">Wu, F., et al. (2010). "Cadmium accumulation and growth responses of a poplar (Populus deltoidsxPopulus nigra) in cadmium contaminated purple soil and alluvial soil." </w:t>
      </w:r>
      <w:r w:rsidRPr="00FF4196">
        <w:rPr>
          <w:u w:val="single"/>
          <w:lang w:val="en-US"/>
        </w:rPr>
        <w:t>J Hazard Mater</w:t>
      </w:r>
      <w:r w:rsidRPr="00FF4196">
        <w:rPr>
          <w:lang w:val="en-US"/>
        </w:rPr>
        <w:t xml:space="preserve"> </w:t>
      </w:r>
      <w:r w:rsidRPr="00FF4196">
        <w:rPr>
          <w:rStyle w:val="Pogrubienie"/>
          <w:lang w:val="en-US"/>
        </w:rPr>
        <w:t>177</w:t>
      </w:r>
      <w:r w:rsidRPr="00FF4196">
        <w:rPr>
          <w:lang w:val="en-US"/>
        </w:rPr>
        <w:t>(1-3): 268-273.</w:t>
      </w:r>
    </w:p>
    <w:p w14:paraId="523D39A3" w14:textId="77777777" w:rsidR="00E56A40" w:rsidRPr="00FF4196" w:rsidRDefault="00E56A40" w:rsidP="00E56A40">
      <w:pPr>
        <w:pStyle w:val="endnotebibliography"/>
        <w:rPr>
          <w:lang w:val="en-US"/>
        </w:rPr>
      </w:pPr>
      <w:r w:rsidRPr="00FF4196">
        <w:rPr>
          <w:lang w:val="en-US"/>
        </w:rPr>
        <w:t>            To characterize the phytoextraction efficiency of a hybrid poplar (Populus deltoidsxPopulus nigra) in cadmium contaminated purple soil and alluvial soil, a pot experiment in field was carried out in Sichuan basin, western China. After one growing period, the poplar accumulated the highest of 541.98+/-19.22 and 576.75+/-40.55 microg cadmium per plant with 110.77+/-12.68 and 202.54+/-19.12 g dry mass in these contaminated purple soil and alluvial soil, respectively. Higher phytoextraction efficiency with higher cadmium concentration in tissues was observed in poplar growing in purple soil than that in alluvial soil at relative lower soil cadmium concentration. The poplar growing in alluvial soil had relative higher tolerance ability with lower reduction rates of morphological and growth characters than that in purple soil, suggesting that the poplar growing in alluvial soil might display the higher phytoextraction ability when cadmium contamination level increased. Even so, the poplars exhibited obvious cadmium transport from root to shoot in both soils regardless of cadmium contamination levels. It implies that this examined poplar can extract more cadmium than some hyperaccumulators. The results indicated that metal phytoextraction using the poplar can be applied to clean up soils moderately contaminated by cadmium in these purple soil and alluvial soil.</w:t>
      </w:r>
    </w:p>
    <w:p w14:paraId="11D90F17" w14:textId="77777777" w:rsidR="00E56A40" w:rsidRPr="00FF4196" w:rsidRDefault="00E56A40" w:rsidP="00E56A40">
      <w:pPr>
        <w:pStyle w:val="endnotebibliography"/>
        <w:rPr>
          <w:lang w:val="en-US"/>
        </w:rPr>
      </w:pPr>
      <w:r w:rsidRPr="00FF4196">
        <w:rPr>
          <w:lang w:val="en-US"/>
        </w:rPr>
        <w:t> </w:t>
      </w:r>
    </w:p>
    <w:p w14:paraId="4F2495E9" w14:textId="77777777" w:rsidR="00E56A40" w:rsidRPr="00FF4196" w:rsidRDefault="00E56A40" w:rsidP="00E56A40">
      <w:pPr>
        <w:pStyle w:val="endnotebibliography"/>
        <w:rPr>
          <w:lang w:val="en-US"/>
        </w:rPr>
      </w:pPr>
      <w:r w:rsidRPr="00FF4196">
        <w:rPr>
          <w:lang w:val="en-US"/>
        </w:rPr>
        <w:t xml:space="preserve">Xu, H. X., et al. (1993). "Inhibitory effect of the water extract of spikes of Miscanthus sinensis on IgE formation in mice." </w:t>
      </w:r>
      <w:r w:rsidRPr="00FF4196">
        <w:rPr>
          <w:u w:val="single"/>
          <w:lang w:val="en-US"/>
        </w:rPr>
        <w:t>Planta Med</w:t>
      </w:r>
      <w:r w:rsidRPr="00FF4196">
        <w:rPr>
          <w:lang w:val="en-US"/>
        </w:rPr>
        <w:t xml:space="preserve"> </w:t>
      </w:r>
      <w:r w:rsidRPr="00FF4196">
        <w:rPr>
          <w:rStyle w:val="Pogrubienie"/>
          <w:lang w:val="en-US"/>
        </w:rPr>
        <w:t>59</w:t>
      </w:r>
      <w:r w:rsidRPr="00FF4196">
        <w:rPr>
          <w:lang w:val="en-US"/>
        </w:rPr>
        <w:t>(6): 529-532.</w:t>
      </w:r>
    </w:p>
    <w:p w14:paraId="4997DA18" w14:textId="77777777" w:rsidR="00E56A40" w:rsidRPr="00FF4196" w:rsidRDefault="00E56A40" w:rsidP="00E56A40">
      <w:pPr>
        <w:pStyle w:val="endnotebibliography"/>
        <w:rPr>
          <w:lang w:val="en-US"/>
        </w:rPr>
      </w:pPr>
      <w:r w:rsidRPr="00FF4196">
        <w:rPr>
          <w:lang w:val="en-US"/>
        </w:rPr>
        <w:t>            The effects of four different plant extracts of the spikes of Miscanthus sinensis, Phragmites communis, and Imperata cylindrica var. major, and of the spikelets of Coix lachryma-jobi on IgE antibody formation were investigated in mice. The IgE antibody titer was tested by the passive cutaneous anaphylaxis (PCA) method in rats. Of these, the water extract of M. sinensis showed an appreciable inhibitory effect on IgE formation. Furthermore, an undialyzable fraction of the water extract with a relative molecular mass of more than 50,000 d, designated as MSIS, showed the most potent inhibitory activity on IgE formation. MSIS was also a potent inhibitor of IgE formation when given intraperitoneally or intranasally to mice the day before injection of dinitrophenyl (DNP)-ovalbumin (OVA) antigen in both the primary and secondary immune responses. Moreover, MSIS clearly suppressed on-going IgE antibody formation in both primary and secondary immune responses.</w:t>
      </w:r>
    </w:p>
    <w:p w14:paraId="6196AB60" w14:textId="77777777" w:rsidR="00E56A40" w:rsidRPr="00FF4196" w:rsidRDefault="00E56A40" w:rsidP="00E56A40">
      <w:pPr>
        <w:pStyle w:val="endnotebibliography"/>
        <w:rPr>
          <w:lang w:val="en-US"/>
        </w:rPr>
      </w:pPr>
      <w:r w:rsidRPr="00FF4196">
        <w:rPr>
          <w:lang w:val="en-US"/>
        </w:rPr>
        <w:t> </w:t>
      </w:r>
    </w:p>
    <w:p w14:paraId="6C3967DA" w14:textId="77777777" w:rsidR="00E56A40" w:rsidRPr="00FF4196" w:rsidRDefault="00E56A40" w:rsidP="00E56A40">
      <w:pPr>
        <w:pStyle w:val="endnotebibliography"/>
        <w:rPr>
          <w:lang w:val="en-US"/>
        </w:rPr>
      </w:pPr>
      <w:r w:rsidRPr="00FF4196">
        <w:rPr>
          <w:lang w:val="en-US"/>
        </w:rPr>
        <w:lastRenderedPageBreak/>
        <w:t xml:space="preserve">Yang, F., et al. (2014). "Ethanol production using a newly isolated Saccharomyces cerevisiae strain directly assimilating intact inulin with a high degree of polymerization." </w:t>
      </w:r>
      <w:r w:rsidRPr="00FF4196">
        <w:rPr>
          <w:u w:val="single"/>
          <w:lang w:val="en-US"/>
        </w:rPr>
        <w:t>Biotechnol Appl Biochem</w:t>
      </w:r>
      <w:r w:rsidRPr="00FF4196">
        <w:rPr>
          <w:lang w:val="en-US"/>
        </w:rPr>
        <w:t xml:space="preserve"> </w:t>
      </w:r>
      <w:r w:rsidRPr="00FF4196">
        <w:rPr>
          <w:rStyle w:val="Pogrubienie"/>
          <w:lang w:val="en-US"/>
        </w:rPr>
        <w:t>61</w:t>
      </w:r>
      <w:r w:rsidRPr="00FF4196">
        <w:rPr>
          <w:lang w:val="en-US"/>
        </w:rPr>
        <w:t>(4): 418-425.</w:t>
      </w:r>
    </w:p>
    <w:p w14:paraId="7151F833" w14:textId="77777777" w:rsidR="00E56A40" w:rsidRPr="00FF4196" w:rsidRDefault="00E56A40" w:rsidP="00E56A40">
      <w:pPr>
        <w:pStyle w:val="endnotebibliography"/>
        <w:rPr>
          <w:lang w:val="en-US"/>
        </w:rPr>
      </w:pPr>
      <w:r w:rsidRPr="00FF4196">
        <w:rPr>
          <w:lang w:val="en-US"/>
        </w:rPr>
        <w:t>            An inulin-degrading strain L610, which was competent to directly convert inulin into ethanol, was isolated and identified as a strain of Saccharomyces cerevisiae according to physiological and phylogenetic analysis. Ion chromatography results showed that isolate L610 could assimilate the intact inulin completely without acidic or enzymatic pretreatment in contrast to the previously reported strains of S. cerevisiae, which could only ferment the fructo-oligosaccharides with a degree of polymerization less than 15. Strain L610 yielded 37.2 g/L ethanol within 48 H at a shake flask level under the evaluated culture conditions (11% inulin, 0.4% yeast extract, and 0.05% MgSO4 at 30 degrees C and pH 6.0). The conversion efficiency of inulin-type sugar to ethanol was 60% of the theoretical ethanol yield. Strain L610 produced 40.0 g/L of ethanol when directly fermented in Jerusalem artichoke (Helianthus tuberosus L.) powder suspension within 24 H, which was higher than the reported data, 28.9 g/L, produced by S. cerevisiae KCCM 50549.</w:t>
      </w:r>
    </w:p>
    <w:p w14:paraId="70ABACD8" w14:textId="77777777" w:rsidR="00E56A40" w:rsidRPr="00FF4196" w:rsidRDefault="00E56A40" w:rsidP="00E56A40">
      <w:pPr>
        <w:pStyle w:val="endnotebibliography"/>
        <w:rPr>
          <w:lang w:val="en-US"/>
        </w:rPr>
      </w:pPr>
      <w:r w:rsidRPr="00FF4196">
        <w:rPr>
          <w:lang w:val="en-US"/>
        </w:rPr>
        <w:t> </w:t>
      </w:r>
    </w:p>
    <w:p w14:paraId="0512BF1A" w14:textId="77777777" w:rsidR="00E56A40" w:rsidRPr="00FF4196" w:rsidRDefault="00E56A40" w:rsidP="00E56A40">
      <w:pPr>
        <w:pStyle w:val="endnotebibliography"/>
        <w:rPr>
          <w:lang w:val="en-US"/>
        </w:rPr>
      </w:pPr>
      <w:r w:rsidRPr="00FF4196">
        <w:rPr>
          <w:lang w:val="en-US"/>
        </w:rPr>
        <w:t xml:space="preserve">Zhong, L., et al. (2012). "Antimicrobial flavonoids from the twigs of Populus nigra x Populus deltoides." </w:t>
      </w:r>
      <w:r w:rsidRPr="00FF4196">
        <w:rPr>
          <w:u w:val="single"/>
          <w:lang w:val="en-US"/>
        </w:rPr>
        <w:t>Nat Prod Res</w:t>
      </w:r>
      <w:r w:rsidRPr="00FF4196">
        <w:rPr>
          <w:lang w:val="en-US"/>
        </w:rPr>
        <w:t xml:space="preserve"> </w:t>
      </w:r>
      <w:r w:rsidRPr="00FF4196">
        <w:rPr>
          <w:rStyle w:val="Pogrubienie"/>
          <w:lang w:val="en-US"/>
        </w:rPr>
        <w:t>26</w:t>
      </w:r>
      <w:r w:rsidRPr="00FF4196">
        <w:rPr>
          <w:lang w:val="en-US"/>
        </w:rPr>
        <w:t>(4): 307-313.</w:t>
      </w:r>
    </w:p>
    <w:p w14:paraId="3B39F9D3" w14:textId="77777777" w:rsidR="00E56A40" w:rsidRPr="00FF4196" w:rsidRDefault="00E56A40" w:rsidP="00E56A40">
      <w:pPr>
        <w:pStyle w:val="endnotebibliography"/>
        <w:rPr>
          <w:lang w:val="en-US"/>
        </w:rPr>
      </w:pPr>
      <w:r w:rsidRPr="00FF4196">
        <w:rPr>
          <w:lang w:val="en-US"/>
        </w:rPr>
        <w:t>            A bioassay-guided fractionation of the ethyl acetate extract from the twigs of the hybrid poplar 'Neva', Populus nigra L. x Populus deltoides Marsh, led to the isolation of three flavonoids, which were identified by means of spectrometric and physicochemical analysis as 5-hydroxy-7-methoxy-flavone (1), 5,7-dihydoxy-flavone (2) and 5,7-dihydroxy-flavonol (3). These compounds were further screened for their antimicrobial activity against plant pathogens, including three bacteria (Pseudomonas lachrymans, Ralstonia solanacearum and Xanthomonas vesicatoria) and one fungus (Magnaporthe oryzae). Compounds 2 and 3 showed significant antibacterial activity, with minimum inhibitory concentrations (MICs) ranging from 15 to 25 microg mL(-1), and median inhibitory concentrations (IC(50) values) from 4 to 18 microg mL(-1). The results obtained provide promising baseline information for the potential use of the extract and flavonoids from this plant as antimicrobial agents to help control plant diseases.</w:t>
      </w:r>
    </w:p>
    <w:p w14:paraId="6494F3CC" w14:textId="791FA3A1"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p>
    <w:p w14:paraId="4DD558AA" w14:textId="0CB7514B"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p>
    <w:p w14:paraId="6FB6746C" w14:textId="459D4CB1"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p>
    <w:p w14:paraId="3E940D13" w14:textId="50C66586"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p>
    <w:p w14:paraId="6631946D" w14:textId="17181622"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p>
    <w:p w14:paraId="1215C57C" w14:textId="6845E330"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p>
    <w:p w14:paraId="5C298AAB" w14:textId="40B9A0FB"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p>
    <w:p w14:paraId="14E97D41" w14:textId="77777777" w:rsidR="00E56A40" w:rsidRPr="00FF4196" w:rsidRDefault="00E56A40" w:rsidP="00E56A40">
      <w:pPr>
        <w:spacing w:before="100" w:beforeAutospacing="1" w:after="100" w:afterAutospacing="1" w:line="240" w:lineRule="auto"/>
        <w:outlineLvl w:val="0"/>
        <w:rPr>
          <w:rFonts w:ascii="Times New Roman" w:eastAsia="Times New Roman" w:hAnsi="Times New Roman" w:cs="Times New Roman"/>
          <w:b/>
          <w:bCs/>
          <w:kern w:val="36"/>
          <w:sz w:val="48"/>
          <w:szCs w:val="48"/>
          <w:lang w:val="en-US" w:eastAsia="pl-PL"/>
        </w:rPr>
      </w:pPr>
      <w:r w:rsidRPr="00FF4196">
        <w:rPr>
          <w:rFonts w:ascii="Times New Roman" w:eastAsia="Times New Roman" w:hAnsi="Times New Roman" w:cs="Times New Roman"/>
          <w:b/>
          <w:bCs/>
          <w:kern w:val="36"/>
          <w:sz w:val="48"/>
          <w:szCs w:val="48"/>
          <w:lang w:val="en-US" w:eastAsia="pl-PL"/>
        </w:rPr>
        <w:lastRenderedPageBreak/>
        <w:t>PLEX database - biological activity</w:t>
      </w:r>
    </w:p>
    <w:p w14:paraId="5C76EB8C" w14:textId="5FBC9CC2" w:rsidR="00E56A40" w:rsidRPr="00FF4196" w:rsidRDefault="00E56A40" w:rsidP="00E56A40">
      <w:pPr>
        <w:spacing w:before="100" w:beforeAutospacing="1" w:after="100" w:afterAutospacing="1" w:line="240" w:lineRule="auto"/>
        <w:jc w:val="both"/>
        <w:rPr>
          <w:rFonts w:ascii="Times New Roman" w:eastAsia="Times New Roman" w:hAnsi="Times New Roman" w:cs="Times New Roman"/>
          <w:sz w:val="24"/>
          <w:szCs w:val="24"/>
          <w:lang w:val="en-US" w:eastAsia="pl-PL"/>
        </w:rPr>
      </w:pPr>
      <w:r w:rsidRPr="00E56A40">
        <w:rPr>
          <w:rFonts w:ascii="Times New Roman" w:eastAsia="Times New Roman" w:hAnsi="Times New Roman" w:cs="Times New Roman"/>
          <w:noProof/>
          <w:sz w:val="24"/>
          <w:szCs w:val="24"/>
          <w:lang w:eastAsia="pl-PL"/>
        </w:rPr>
        <w:drawing>
          <wp:inline distT="0" distB="0" distL="0" distR="0" wp14:anchorId="326230CA" wp14:editId="39A73C2F">
            <wp:extent cx="1409700" cy="525780"/>
            <wp:effectExtent l="0" t="0" r="0" b="7620"/>
            <wp:docPr id="11" name="Obraz 1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9700" cy="525780"/>
                    </a:xfrm>
                    <a:prstGeom prst="rect">
                      <a:avLst/>
                    </a:prstGeom>
                    <a:noFill/>
                    <a:ln>
                      <a:noFill/>
                    </a:ln>
                  </pic:spPr>
                </pic:pic>
              </a:graphicData>
            </a:graphic>
          </wp:inline>
        </w:drawing>
      </w:r>
      <w:r w:rsidRPr="00FF4196">
        <w:rPr>
          <w:rFonts w:ascii="Times New Roman" w:eastAsia="Times New Roman" w:hAnsi="Times New Roman" w:cs="Times New Roman"/>
          <w:color w:val="FF0000"/>
          <w:sz w:val="36"/>
          <w:szCs w:val="36"/>
          <w:lang w:val="en-US" w:eastAsia="pl-PL"/>
        </w:rPr>
        <w:t xml:space="preserve">                    </w:t>
      </w:r>
      <w:r w:rsidRPr="00E56A40">
        <w:rPr>
          <w:rFonts w:ascii="Times New Roman" w:eastAsia="Times New Roman" w:hAnsi="Times New Roman" w:cs="Times New Roman"/>
          <w:noProof/>
          <w:sz w:val="24"/>
          <w:szCs w:val="24"/>
          <w:lang w:eastAsia="pl-PL"/>
        </w:rPr>
        <w:drawing>
          <wp:inline distT="0" distB="0" distL="0" distR="0" wp14:anchorId="7BF693A4" wp14:editId="24B164B3">
            <wp:extent cx="906780" cy="807720"/>
            <wp:effectExtent l="0" t="0" r="762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6780" cy="807720"/>
                    </a:xfrm>
                    <a:prstGeom prst="rect">
                      <a:avLst/>
                    </a:prstGeom>
                    <a:noFill/>
                    <a:ln>
                      <a:noFill/>
                    </a:ln>
                  </pic:spPr>
                </pic:pic>
              </a:graphicData>
            </a:graphic>
          </wp:inline>
        </w:drawing>
      </w:r>
      <w:r w:rsidRPr="00FF4196">
        <w:rPr>
          <w:rFonts w:ascii="Times New Roman" w:eastAsia="Times New Roman" w:hAnsi="Times New Roman" w:cs="Times New Roman"/>
          <w:color w:val="FF0000"/>
          <w:sz w:val="36"/>
          <w:szCs w:val="36"/>
          <w:lang w:val="en-US" w:eastAsia="pl-PL"/>
        </w:rPr>
        <w:t xml:space="preserve">                    </w:t>
      </w:r>
      <w:r w:rsidRPr="00E56A40">
        <w:rPr>
          <w:rFonts w:ascii="Times New Roman" w:eastAsia="Times New Roman" w:hAnsi="Times New Roman" w:cs="Times New Roman"/>
          <w:noProof/>
          <w:sz w:val="24"/>
          <w:szCs w:val="24"/>
          <w:lang w:eastAsia="pl-PL"/>
        </w:rPr>
        <w:drawing>
          <wp:inline distT="0" distB="0" distL="0" distR="0" wp14:anchorId="3D8AE7C0" wp14:editId="684E8F61">
            <wp:extent cx="365760" cy="335280"/>
            <wp:effectExtent l="0" t="0" r="0" b="7620"/>
            <wp:docPr id="9" name="Obraz 9">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5760" cy="335280"/>
                    </a:xfrm>
                    <a:prstGeom prst="rect">
                      <a:avLst/>
                    </a:prstGeom>
                    <a:noFill/>
                    <a:ln>
                      <a:noFill/>
                    </a:ln>
                  </pic:spPr>
                </pic:pic>
              </a:graphicData>
            </a:graphic>
          </wp:inline>
        </w:drawing>
      </w:r>
    </w:p>
    <w:p w14:paraId="593737E5"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b/>
          <w:bCs/>
          <w:sz w:val="24"/>
          <w:szCs w:val="24"/>
          <w:lang w:val="en-US" w:eastAsia="pl-PL"/>
        </w:rPr>
        <w:t>BIOproducts</w:t>
      </w:r>
      <w:r w:rsidRPr="00FF4196">
        <w:rPr>
          <w:rFonts w:ascii="Times New Roman" w:eastAsia="Times New Roman" w:hAnsi="Times New Roman" w:cs="Times New Roman"/>
          <w:sz w:val="24"/>
          <w:szCs w:val="24"/>
          <w:lang w:val="en-US" w:eastAsia="pl-PL"/>
        </w:rPr>
        <w:t> </w:t>
      </w:r>
      <w:r w:rsidRPr="00FF4196">
        <w:rPr>
          <w:rFonts w:ascii="Times New Roman" w:eastAsia="Times New Roman" w:hAnsi="Times New Roman" w:cs="Times New Roman"/>
          <w:b/>
          <w:bCs/>
          <w:sz w:val="24"/>
          <w:szCs w:val="24"/>
          <w:lang w:val="en-US" w:eastAsia="pl-PL"/>
        </w:rPr>
        <w:t>from lignocellulosic biomass derived from MArginal land to fill the Gap In Current national</w:t>
      </w:r>
      <w:r w:rsidRPr="00FF4196">
        <w:rPr>
          <w:rFonts w:ascii="Times New Roman" w:eastAsia="Times New Roman" w:hAnsi="Times New Roman" w:cs="Times New Roman"/>
          <w:sz w:val="24"/>
          <w:szCs w:val="24"/>
          <w:lang w:val="en-US" w:eastAsia="pl-PL"/>
        </w:rPr>
        <w:t> </w:t>
      </w:r>
      <w:r w:rsidRPr="00FF4196">
        <w:rPr>
          <w:rFonts w:ascii="Times New Roman" w:eastAsia="Times New Roman" w:hAnsi="Times New Roman" w:cs="Times New Roman"/>
          <w:b/>
          <w:bCs/>
          <w:sz w:val="24"/>
          <w:szCs w:val="24"/>
          <w:lang w:val="en-US" w:eastAsia="pl-PL"/>
        </w:rPr>
        <w:t>bioeconomy - BIOMAGIC</w:t>
      </w:r>
    </w:p>
    <w:p w14:paraId="36682475" w14:textId="77777777" w:rsidR="00E56A40" w:rsidRPr="00E56A40" w:rsidRDefault="00E56A40" w:rsidP="00E56A40">
      <w:pPr>
        <w:spacing w:after="0"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sz w:val="24"/>
          <w:szCs w:val="24"/>
          <w:lang w:eastAsia="pl-PL"/>
        </w:rPr>
        <w:t>Projekt finansowany przez Narodowe Centrum Badań i Rozwoju w ramach programu BIOSTRATEG</w:t>
      </w:r>
    </w:p>
    <w:p w14:paraId="544B754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6DDFA173"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color w:val="FF0000"/>
          <w:sz w:val="36"/>
          <w:szCs w:val="36"/>
          <w:lang w:val="en-US" w:eastAsia="pl-PL"/>
        </w:rPr>
        <w:t>PLEX database - biological activity</w:t>
      </w:r>
    </w:p>
    <w:p w14:paraId="3741A58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Data: 26.04.2019</w:t>
      </w:r>
    </w:p>
    <w:p w14:paraId="6C76E88D"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w:t>
      </w:r>
    </w:p>
    <w:p w14:paraId="28C46D4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Robinia pseudoacacia</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4"/>
        <w:gridCol w:w="1844"/>
        <w:gridCol w:w="2268"/>
        <w:gridCol w:w="2230"/>
        <w:gridCol w:w="1540"/>
      </w:tblGrid>
      <w:tr w:rsidR="00E56A40" w:rsidRPr="00E56A40" w14:paraId="7439B194"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129FE5D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Source</w:t>
            </w:r>
          </w:p>
        </w:tc>
        <w:tc>
          <w:tcPr>
            <w:tcW w:w="2205" w:type="dxa"/>
            <w:tcBorders>
              <w:top w:val="outset" w:sz="6" w:space="0" w:color="auto"/>
              <w:left w:val="outset" w:sz="6" w:space="0" w:color="auto"/>
              <w:bottom w:val="outset" w:sz="6" w:space="0" w:color="auto"/>
              <w:right w:val="outset" w:sz="6" w:space="0" w:color="auto"/>
            </w:tcBorders>
            <w:hideMark/>
          </w:tcPr>
          <w:p w14:paraId="1B40A4A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Extraction methods/solvent</w:t>
            </w:r>
          </w:p>
        </w:tc>
        <w:tc>
          <w:tcPr>
            <w:tcW w:w="2805" w:type="dxa"/>
            <w:tcBorders>
              <w:top w:val="outset" w:sz="6" w:space="0" w:color="auto"/>
              <w:left w:val="outset" w:sz="6" w:space="0" w:color="auto"/>
              <w:bottom w:val="outset" w:sz="6" w:space="0" w:color="auto"/>
              <w:right w:val="outset" w:sz="6" w:space="0" w:color="auto"/>
            </w:tcBorders>
            <w:hideMark/>
          </w:tcPr>
          <w:p w14:paraId="19F840D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Compound</w:t>
            </w:r>
          </w:p>
        </w:tc>
        <w:tc>
          <w:tcPr>
            <w:tcW w:w="2745" w:type="dxa"/>
            <w:tcBorders>
              <w:top w:val="outset" w:sz="6" w:space="0" w:color="auto"/>
              <w:left w:val="outset" w:sz="6" w:space="0" w:color="auto"/>
              <w:bottom w:val="outset" w:sz="6" w:space="0" w:color="auto"/>
              <w:right w:val="outset" w:sz="6" w:space="0" w:color="auto"/>
            </w:tcBorders>
            <w:hideMark/>
          </w:tcPr>
          <w:p w14:paraId="63DCC3E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Biological activity</w:t>
            </w:r>
          </w:p>
        </w:tc>
        <w:tc>
          <w:tcPr>
            <w:tcW w:w="1905" w:type="dxa"/>
            <w:tcBorders>
              <w:top w:val="outset" w:sz="6" w:space="0" w:color="auto"/>
              <w:left w:val="outset" w:sz="6" w:space="0" w:color="auto"/>
              <w:bottom w:val="outset" w:sz="6" w:space="0" w:color="auto"/>
              <w:right w:val="outset" w:sz="6" w:space="0" w:color="auto"/>
            </w:tcBorders>
            <w:hideMark/>
          </w:tcPr>
          <w:p w14:paraId="27549DE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tc>
      </w:tr>
      <w:tr w:rsidR="00E56A40" w:rsidRPr="00E56A40" w14:paraId="3272A77D"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645E69B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pollen</w:t>
            </w:r>
          </w:p>
        </w:tc>
        <w:tc>
          <w:tcPr>
            <w:tcW w:w="2205" w:type="dxa"/>
            <w:tcBorders>
              <w:top w:val="outset" w:sz="6" w:space="0" w:color="auto"/>
              <w:left w:val="outset" w:sz="6" w:space="0" w:color="auto"/>
              <w:bottom w:val="outset" w:sz="6" w:space="0" w:color="auto"/>
              <w:right w:val="outset" w:sz="6" w:space="0" w:color="auto"/>
            </w:tcBorders>
            <w:hideMark/>
          </w:tcPr>
          <w:p w14:paraId="150B2B9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saline extract</w:t>
            </w:r>
          </w:p>
        </w:tc>
        <w:tc>
          <w:tcPr>
            <w:tcW w:w="2805" w:type="dxa"/>
            <w:tcBorders>
              <w:top w:val="outset" w:sz="6" w:space="0" w:color="auto"/>
              <w:left w:val="outset" w:sz="6" w:space="0" w:color="auto"/>
              <w:bottom w:val="outset" w:sz="6" w:space="0" w:color="auto"/>
              <w:right w:val="outset" w:sz="6" w:space="0" w:color="auto"/>
            </w:tcBorders>
            <w:hideMark/>
          </w:tcPr>
          <w:p w14:paraId="6893EE9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protein</w:t>
            </w:r>
          </w:p>
        </w:tc>
        <w:tc>
          <w:tcPr>
            <w:tcW w:w="2745" w:type="dxa"/>
            <w:tcBorders>
              <w:top w:val="outset" w:sz="6" w:space="0" w:color="auto"/>
              <w:left w:val="outset" w:sz="6" w:space="0" w:color="auto"/>
              <w:bottom w:val="outset" w:sz="6" w:space="0" w:color="auto"/>
              <w:right w:val="outset" w:sz="6" w:space="0" w:color="auto"/>
            </w:tcBorders>
            <w:hideMark/>
          </w:tcPr>
          <w:p w14:paraId="0E35BDB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allergenic</w:t>
            </w:r>
          </w:p>
        </w:tc>
        <w:tc>
          <w:tcPr>
            <w:tcW w:w="1905" w:type="dxa"/>
            <w:tcBorders>
              <w:top w:val="outset" w:sz="6" w:space="0" w:color="auto"/>
              <w:left w:val="outset" w:sz="6" w:space="0" w:color="auto"/>
              <w:bottom w:val="outset" w:sz="6" w:space="0" w:color="auto"/>
              <w:right w:val="outset" w:sz="6" w:space="0" w:color="auto"/>
            </w:tcBorders>
            <w:hideMark/>
          </w:tcPr>
          <w:p w14:paraId="3EBB4C8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Compés et al. 2006</w:t>
            </w:r>
          </w:p>
        </w:tc>
      </w:tr>
      <w:tr w:rsidR="00E56A40" w:rsidRPr="00E56A40" w14:paraId="16BBE532"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739029D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flowers</w:t>
            </w:r>
          </w:p>
        </w:tc>
        <w:tc>
          <w:tcPr>
            <w:tcW w:w="2205" w:type="dxa"/>
            <w:tcBorders>
              <w:top w:val="outset" w:sz="6" w:space="0" w:color="auto"/>
              <w:left w:val="outset" w:sz="6" w:space="0" w:color="auto"/>
              <w:bottom w:val="outset" w:sz="6" w:space="0" w:color="auto"/>
              <w:right w:val="outset" w:sz="6" w:space="0" w:color="auto"/>
            </w:tcBorders>
            <w:hideMark/>
          </w:tcPr>
          <w:p w14:paraId="7CA22F9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diethyl ether extract</w:t>
            </w:r>
          </w:p>
        </w:tc>
        <w:tc>
          <w:tcPr>
            <w:tcW w:w="2805" w:type="dxa"/>
            <w:tcBorders>
              <w:top w:val="outset" w:sz="6" w:space="0" w:color="auto"/>
              <w:left w:val="outset" w:sz="6" w:space="0" w:color="auto"/>
              <w:bottom w:val="outset" w:sz="6" w:space="0" w:color="auto"/>
              <w:right w:val="outset" w:sz="6" w:space="0" w:color="auto"/>
            </w:tcBorders>
            <w:hideMark/>
          </w:tcPr>
          <w:p w14:paraId="750891E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2-aminobenzaldehyde</w:t>
            </w:r>
          </w:p>
        </w:tc>
        <w:tc>
          <w:tcPr>
            <w:tcW w:w="2745" w:type="dxa"/>
            <w:tcBorders>
              <w:top w:val="outset" w:sz="6" w:space="0" w:color="auto"/>
              <w:left w:val="outset" w:sz="6" w:space="0" w:color="auto"/>
              <w:bottom w:val="outset" w:sz="6" w:space="0" w:color="auto"/>
              <w:right w:val="outset" w:sz="6" w:space="0" w:color="auto"/>
            </w:tcBorders>
            <w:hideMark/>
          </w:tcPr>
          <w:p w14:paraId="64D1B02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flavour components</w:t>
            </w:r>
          </w:p>
        </w:tc>
        <w:tc>
          <w:tcPr>
            <w:tcW w:w="1905" w:type="dxa"/>
            <w:tcBorders>
              <w:top w:val="outset" w:sz="6" w:space="0" w:color="auto"/>
              <w:left w:val="outset" w:sz="6" w:space="0" w:color="auto"/>
              <w:bottom w:val="outset" w:sz="6" w:space="0" w:color="auto"/>
              <w:right w:val="outset" w:sz="6" w:space="0" w:color="auto"/>
            </w:tcBorders>
            <w:hideMark/>
          </w:tcPr>
          <w:p w14:paraId="5B60417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Spiteller &amp; Steglich 2001</w:t>
            </w:r>
          </w:p>
        </w:tc>
      </w:tr>
      <w:tr w:rsidR="00E56A40" w:rsidRPr="00FF4196" w14:paraId="211481F0"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415471C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flowers</w:t>
            </w:r>
          </w:p>
        </w:tc>
        <w:tc>
          <w:tcPr>
            <w:tcW w:w="2205" w:type="dxa"/>
            <w:tcBorders>
              <w:top w:val="outset" w:sz="6" w:space="0" w:color="auto"/>
              <w:left w:val="outset" w:sz="6" w:space="0" w:color="auto"/>
              <w:bottom w:val="outset" w:sz="6" w:space="0" w:color="auto"/>
              <w:right w:val="outset" w:sz="6" w:space="0" w:color="auto"/>
            </w:tcBorders>
            <w:hideMark/>
          </w:tcPr>
          <w:p w14:paraId="5F9DA52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water extract </w:t>
            </w:r>
          </w:p>
        </w:tc>
        <w:tc>
          <w:tcPr>
            <w:tcW w:w="2805" w:type="dxa"/>
            <w:tcBorders>
              <w:top w:val="outset" w:sz="6" w:space="0" w:color="auto"/>
              <w:left w:val="outset" w:sz="6" w:space="0" w:color="auto"/>
              <w:bottom w:val="outset" w:sz="6" w:space="0" w:color="auto"/>
              <w:right w:val="outset" w:sz="6" w:space="0" w:color="auto"/>
            </w:tcBorders>
            <w:hideMark/>
          </w:tcPr>
          <w:p w14:paraId="3DD4A18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polysaccharides</w:t>
            </w:r>
          </w:p>
        </w:tc>
        <w:tc>
          <w:tcPr>
            <w:tcW w:w="2745" w:type="dxa"/>
            <w:tcBorders>
              <w:top w:val="outset" w:sz="6" w:space="0" w:color="auto"/>
              <w:left w:val="outset" w:sz="6" w:space="0" w:color="auto"/>
              <w:bottom w:val="outset" w:sz="6" w:space="0" w:color="auto"/>
              <w:right w:val="outset" w:sz="6" w:space="0" w:color="auto"/>
            </w:tcBorders>
            <w:hideMark/>
          </w:tcPr>
          <w:p w14:paraId="214691C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immunomodulation</w:t>
            </w:r>
          </w:p>
        </w:tc>
        <w:tc>
          <w:tcPr>
            <w:tcW w:w="1905" w:type="dxa"/>
            <w:tcBorders>
              <w:top w:val="outset" w:sz="6" w:space="0" w:color="auto"/>
              <w:left w:val="outset" w:sz="6" w:space="0" w:color="auto"/>
              <w:bottom w:val="outset" w:sz="6" w:space="0" w:color="auto"/>
              <w:right w:val="outset" w:sz="6" w:space="0" w:color="auto"/>
            </w:tcBorders>
            <w:hideMark/>
          </w:tcPr>
          <w:p w14:paraId="2B52C32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Yang et al. 2017; Liang et al. 2013</w:t>
            </w:r>
          </w:p>
        </w:tc>
      </w:tr>
      <w:tr w:rsidR="00E56A40" w:rsidRPr="00E56A40" w14:paraId="22B1AB25"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2AC9897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flowers</w:t>
            </w:r>
          </w:p>
        </w:tc>
        <w:tc>
          <w:tcPr>
            <w:tcW w:w="2205" w:type="dxa"/>
            <w:tcBorders>
              <w:top w:val="outset" w:sz="6" w:space="0" w:color="auto"/>
              <w:left w:val="outset" w:sz="6" w:space="0" w:color="auto"/>
              <w:bottom w:val="outset" w:sz="6" w:space="0" w:color="auto"/>
              <w:right w:val="outset" w:sz="6" w:space="0" w:color="auto"/>
            </w:tcBorders>
            <w:hideMark/>
          </w:tcPr>
          <w:p w14:paraId="10AB5354"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ethyl acetate, acetone, methanol and water extracts</w:t>
            </w:r>
          </w:p>
        </w:tc>
        <w:tc>
          <w:tcPr>
            <w:tcW w:w="2805" w:type="dxa"/>
            <w:tcBorders>
              <w:top w:val="outset" w:sz="6" w:space="0" w:color="auto"/>
              <w:left w:val="outset" w:sz="6" w:space="0" w:color="auto"/>
              <w:bottom w:val="outset" w:sz="6" w:space="0" w:color="auto"/>
              <w:right w:val="outset" w:sz="6" w:space="0" w:color="auto"/>
            </w:tcBorders>
            <w:hideMark/>
          </w:tcPr>
          <w:p w14:paraId="17A880B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phenolic, flavonoids, tannins, fatty acids</w:t>
            </w:r>
          </w:p>
        </w:tc>
        <w:tc>
          <w:tcPr>
            <w:tcW w:w="2745" w:type="dxa"/>
            <w:tcBorders>
              <w:top w:val="outset" w:sz="6" w:space="0" w:color="auto"/>
              <w:left w:val="outset" w:sz="6" w:space="0" w:color="auto"/>
              <w:bottom w:val="outset" w:sz="6" w:space="0" w:color="auto"/>
              <w:right w:val="outset" w:sz="6" w:space="0" w:color="auto"/>
            </w:tcBorders>
            <w:hideMark/>
          </w:tcPr>
          <w:p w14:paraId="365F36C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antioxidative, inhibitory activities against cholinesterase, </w:t>
            </w:r>
            <w:r w:rsidRPr="00E56A40">
              <w:rPr>
                <w:rFonts w:ascii="Times New Roman" w:eastAsia="Times New Roman" w:hAnsi="Times New Roman" w:cs="Times New Roman"/>
                <w:sz w:val="24"/>
                <w:szCs w:val="24"/>
                <w:lang w:eastAsia="pl-PL"/>
              </w:rPr>
              <w:t>α</w:t>
            </w:r>
            <w:r w:rsidRPr="00FF4196">
              <w:rPr>
                <w:rFonts w:ascii="Times New Roman" w:eastAsia="Times New Roman" w:hAnsi="Times New Roman" w:cs="Times New Roman"/>
                <w:sz w:val="24"/>
                <w:szCs w:val="24"/>
                <w:lang w:val="en-US" w:eastAsia="pl-PL"/>
              </w:rPr>
              <w:t xml:space="preserve">-amylase, </w:t>
            </w:r>
            <w:r w:rsidRPr="00E56A40">
              <w:rPr>
                <w:rFonts w:ascii="Times New Roman" w:eastAsia="Times New Roman" w:hAnsi="Times New Roman" w:cs="Times New Roman"/>
                <w:sz w:val="24"/>
                <w:szCs w:val="24"/>
                <w:lang w:eastAsia="pl-PL"/>
              </w:rPr>
              <w:t>α</w:t>
            </w:r>
            <w:r w:rsidRPr="00FF4196">
              <w:rPr>
                <w:rFonts w:ascii="Times New Roman" w:eastAsia="Times New Roman" w:hAnsi="Times New Roman" w:cs="Times New Roman"/>
                <w:sz w:val="24"/>
                <w:szCs w:val="24"/>
                <w:lang w:val="en-US" w:eastAsia="pl-PL"/>
              </w:rPr>
              <w:t>-glucosidase and tyrosinase</w:t>
            </w:r>
          </w:p>
        </w:tc>
        <w:tc>
          <w:tcPr>
            <w:tcW w:w="1905" w:type="dxa"/>
            <w:tcBorders>
              <w:top w:val="outset" w:sz="6" w:space="0" w:color="auto"/>
              <w:left w:val="outset" w:sz="6" w:space="0" w:color="auto"/>
              <w:bottom w:val="outset" w:sz="6" w:space="0" w:color="auto"/>
              <w:right w:val="outset" w:sz="6" w:space="0" w:color="auto"/>
            </w:tcBorders>
            <w:hideMark/>
          </w:tcPr>
          <w:p w14:paraId="7DC5A75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Sarikurkcu et al. 2015</w:t>
            </w:r>
          </w:p>
        </w:tc>
      </w:tr>
      <w:tr w:rsidR="00E56A40" w:rsidRPr="00E56A40" w14:paraId="3B13409E"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14FF6BB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seed</w:t>
            </w:r>
          </w:p>
        </w:tc>
        <w:tc>
          <w:tcPr>
            <w:tcW w:w="2205" w:type="dxa"/>
            <w:tcBorders>
              <w:top w:val="outset" w:sz="6" w:space="0" w:color="auto"/>
              <w:left w:val="outset" w:sz="6" w:space="0" w:color="auto"/>
              <w:bottom w:val="outset" w:sz="6" w:space="0" w:color="auto"/>
              <w:right w:val="outset" w:sz="6" w:space="0" w:color="auto"/>
            </w:tcBorders>
            <w:hideMark/>
          </w:tcPr>
          <w:p w14:paraId="25D3BA4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buffer extract (10 mM</w:t>
            </w:r>
          </w:p>
          <w:p w14:paraId="469CE54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Na</w:t>
            </w:r>
            <w:r w:rsidRPr="00E56A40">
              <w:rPr>
                <w:rFonts w:ascii="Times New Roman" w:eastAsia="Times New Roman" w:hAnsi="Times New Roman" w:cs="Times New Roman"/>
                <w:sz w:val="24"/>
                <w:szCs w:val="24"/>
                <w:vertAlign w:val="subscript"/>
                <w:lang w:eastAsia="pl-PL"/>
              </w:rPr>
              <w:t>2</w:t>
            </w:r>
            <w:r w:rsidRPr="00E56A40">
              <w:rPr>
                <w:rFonts w:ascii="Times New Roman" w:eastAsia="Times New Roman" w:hAnsi="Times New Roman" w:cs="Times New Roman"/>
                <w:sz w:val="24"/>
                <w:szCs w:val="24"/>
                <w:lang w:eastAsia="pl-PL"/>
              </w:rPr>
              <w:t>HPO</w:t>
            </w:r>
            <w:r w:rsidRPr="00E56A40">
              <w:rPr>
                <w:rFonts w:ascii="Times New Roman" w:eastAsia="Times New Roman" w:hAnsi="Times New Roman" w:cs="Times New Roman"/>
                <w:sz w:val="24"/>
                <w:szCs w:val="24"/>
                <w:vertAlign w:val="subscript"/>
                <w:lang w:eastAsia="pl-PL"/>
              </w:rPr>
              <w:t>4</w:t>
            </w:r>
            <w:r w:rsidRPr="00E56A40">
              <w:rPr>
                <w:rFonts w:ascii="Times New Roman" w:eastAsia="Times New Roman" w:hAnsi="Times New Roman" w:cs="Times New Roman"/>
                <w:sz w:val="24"/>
                <w:szCs w:val="24"/>
                <w:lang w:eastAsia="pl-PL"/>
              </w:rPr>
              <w:t>, 15 mM NaH</w:t>
            </w:r>
            <w:r w:rsidRPr="00E56A40">
              <w:rPr>
                <w:rFonts w:ascii="Times New Roman" w:eastAsia="Times New Roman" w:hAnsi="Times New Roman" w:cs="Times New Roman"/>
                <w:sz w:val="24"/>
                <w:szCs w:val="24"/>
                <w:vertAlign w:val="subscript"/>
                <w:lang w:eastAsia="pl-PL"/>
              </w:rPr>
              <w:t>2</w:t>
            </w:r>
            <w:r w:rsidRPr="00E56A40">
              <w:rPr>
                <w:rFonts w:ascii="Times New Roman" w:eastAsia="Times New Roman" w:hAnsi="Times New Roman" w:cs="Times New Roman"/>
                <w:sz w:val="24"/>
                <w:szCs w:val="24"/>
                <w:lang w:eastAsia="pl-PL"/>
              </w:rPr>
              <w:t>PO</w:t>
            </w:r>
            <w:r w:rsidRPr="00E56A40">
              <w:rPr>
                <w:rFonts w:ascii="Times New Roman" w:eastAsia="Times New Roman" w:hAnsi="Times New Roman" w:cs="Times New Roman"/>
                <w:sz w:val="24"/>
                <w:szCs w:val="24"/>
                <w:vertAlign w:val="subscript"/>
                <w:lang w:eastAsia="pl-PL"/>
              </w:rPr>
              <w:t>4</w:t>
            </w:r>
            <w:r w:rsidRPr="00E56A40">
              <w:rPr>
                <w:rFonts w:ascii="Times New Roman" w:eastAsia="Times New Roman" w:hAnsi="Times New Roman" w:cs="Times New Roman"/>
                <w:sz w:val="24"/>
                <w:szCs w:val="24"/>
                <w:lang w:eastAsia="pl-PL"/>
              </w:rPr>
              <w:t>, 100 mM KCl, 1.5 mM EDTA)</w:t>
            </w:r>
          </w:p>
        </w:tc>
        <w:tc>
          <w:tcPr>
            <w:tcW w:w="2805" w:type="dxa"/>
            <w:tcBorders>
              <w:top w:val="outset" w:sz="6" w:space="0" w:color="auto"/>
              <w:left w:val="outset" w:sz="6" w:space="0" w:color="auto"/>
              <w:bottom w:val="outset" w:sz="6" w:space="0" w:color="auto"/>
              <w:right w:val="outset" w:sz="6" w:space="0" w:color="auto"/>
            </w:tcBorders>
            <w:hideMark/>
          </w:tcPr>
          <w:p w14:paraId="0C144E8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cationic peptide</w:t>
            </w:r>
          </w:p>
        </w:tc>
        <w:tc>
          <w:tcPr>
            <w:tcW w:w="2745" w:type="dxa"/>
            <w:tcBorders>
              <w:top w:val="outset" w:sz="6" w:space="0" w:color="auto"/>
              <w:left w:val="outset" w:sz="6" w:space="0" w:color="auto"/>
              <w:bottom w:val="outset" w:sz="6" w:space="0" w:color="auto"/>
              <w:right w:val="outset" w:sz="6" w:space="0" w:color="auto"/>
            </w:tcBorders>
            <w:hideMark/>
          </w:tcPr>
          <w:p w14:paraId="0214547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antimicrobial</w:t>
            </w:r>
          </w:p>
        </w:tc>
        <w:tc>
          <w:tcPr>
            <w:tcW w:w="1905" w:type="dxa"/>
            <w:tcBorders>
              <w:top w:val="outset" w:sz="6" w:space="0" w:color="auto"/>
              <w:left w:val="outset" w:sz="6" w:space="0" w:color="auto"/>
              <w:bottom w:val="outset" w:sz="6" w:space="0" w:color="auto"/>
              <w:right w:val="outset" w:sz="6" w:space="0" w:color="auto"/>
            </w:tcBorders>
            <w:hideMark/>
          </w:tcPr>
          <w:p w14:paraId="60F8925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Talas-Oğraş et al. 2005</w:t>
            </w:r>
          </w:p>
        </w:tc>
      </w:tr>
      <w:tr w:rsidR="00E56A40" w:rsidRPr="00E56A40" w14:paraId="21DFBC90"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6CA2C78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seed</w:t>
            </w:r>
          </w:p>
        </w:tc>
        <w:tc>
          <w:tcPr>
            <w:tcW w:w="2205" w:type="dxa"/>
            <w:tcBorders>
              <w:top w:val="outset" w:sz="6" w:space="0" w:color="auto"/>
              <w:left w:val="outset" w:sz="6" w:space="0" w:color="auto"/>
              <w:bottom w:val="outset" w:sz="6" w:space="0" w:color="auto"/>
              <w:right w:val="outset" w:sz="6" w:space="0" w:color="auto"/>
            </w:tcBorders>
            <w:hideMark/>
          </w:tcPr>
          <w:p w14:paraId="3BCDC05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water, petroleum ether, ethyl acetate or </w:t>
            </w:r>
            <w:r w:rsidRPr="00FF4196">
              <w:rPr>
                <w:rFonts w:ascii="Times New Roman" w:eastAsia="Times New Roman" w:hAnsi="Times New Roman" w:cs="Times New Roman"/>
                <w:i/>
                <w:iCs/>
                <w:sz w:val="24"/>
                <w:szCs w:val="24"/>
                <w:lang w:val="en-US" w:eastAsia="pl-PL"/>
              </w:rPr>
              <w:t>n</w:t>
            </w:r>
            <w:r w:rsidRPr="00FF4196">
              <w:rPr>
                <w:rFonts w:ascii="Times New Roman" w:eastAsia="Times New Roman" w:hAnsi="Times New Roman" w:cs="Times New Roman"/>
                <w:sz w:val="24"/>
                <w:szCs w:val="24"/>
                <w:lang w:val="en-US" w:eastAsia="pl-PL"/>
              </w:rPr>
              <w:t>-butanol extract from lyophilised ethanolic extract</w:t>
            </w:r>
          </w:p>
        </w:tc>
        <w:tc>
          <w:tcPr>
            <w:tcW w:w="2805" w:type="dxa"/>
            <w:tcBorders>
              <w:top w:val="outset" w:sz="6" w:space="0" w:color="auto"/>
              <w:left w:val="outset" w:sz="6" w:space="0" w:color="auto"/>
              <w:bottom w:val="outset" w:sz="6" w:space="0" w:color="auto"/>
              <w:right w:val="outset" w:sz="6" w:space="0" w:color="auto"/>
            </w:tcBorders>
            <w:hideMark/>
          </w:tcPr>
          <w:p w14:paraId="5F57AC7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9,12-octadecadienoic acid; 9,12,15-</w:t>
            </w:r>
          </w:p>
          <w:p w14:paraId="4180C858"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octadecatrienoic acid methyl ester; 9,12-octadecadienoic acid methyl ester</w:t>
            </w:r>
          </w:p>
        </w:tc>
        <w:tc>
          <w:tcPr>
            <w:tcW w:w="2745" w:type="dxa"/>
            <w:tcBorders>
              <w:top w:val="outset" w:sz="6" w:space="0" w:color="auto"/>
              <w:left w:val="outset" w:sz="6" w:space="0" w:color="auto"/>
              <w:bottom w:val="outset" w:sz="6" w:space="0" w:color="auto"/>
              <w:right w:val="outset" w:sz="6" w:space="0" w:color="auto"/>
            </w:tcBorders>
            <w:hideMark/>
          </w:tcPr>
          <w:p w14:paraId="0492B3C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insecticidal</w:t>
            </w:r>
          </w:p>
        </w:tc>
        <w:tc>
          <w:tcPr>
            <w:tcW w:w="1905" w:type="dxa"/>
            <w:tcBorders>
              <w:top w:val="outset" w:sz="6" w:space="0" w:color="auto"/>
              <w:left w:val="outset" w:sz="6" w:space="0" w:color="auto"/>
              <w:bottom w:val="outset" w:sz="6" w:space="0" w:color="auto"/>
              <w:right w:val="outset" w:sz="6" w:space="0" w:color="auto"/>
            </w:tcBorders>
            <w:hideMark/>
          </w:tcPr>
          <w:p w14:paraId="0B06E08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Jiang et al. 2018</w:t>
            </w:r>
          </w:p>
        </w:tc>
      </w:tr>
      <w:tr w:rsidR="00E56A40" w:rsidRPr="00E56A40" w14:paraId="6FB99659"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1F5191E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seed</w:t>
            </w:r>
          </w:p>
        </w:tc>
        <w:tc>
          <w:tcPr>
            <w:tcW w:w="2205" w:type="dxa"/>
            <w:tcBorders>
              <w:top w:val="outset" w:sz="6" w:space="0" w:color="auto"/>
              <w:left w:val="outset" w:sz="6" w:space="0" w:color="auto"/>
              <w:bottom w:val="outset" w:sz="6" w:space="0" w:color="auto"/>
              <w:right w:val="outset" w:sz="6" w:space="0" w:color="auto"/>
            </w:tcBorders>
            <w:hideMark/>
          </w:tcPr>
          <w:p w14:paraId="1757A14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805" w:type="dxa"/>
            <w:tcBorders>
              <w:top w:val="outset" w:sz="6" w:space="0" w:color="auto"/>
              <w:left w:val="outset" w:sz="6" w:space="0" w:color="auto"/>
              <w:bottom w:val="outset" w:sz="6" w:space="0" w:color="auto"/>
              <w:right w:val="outset" w:sz="6" w:space="0" w:color="auto"/>
            </w:tcBorders>
            <w:hideMark/>
          </w:tcPr>
          <w:p w14:paraId="17D3613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amorphastilbol (APH-1)</w:t>
            </w:r>
          </w:p>
        </w:tc>
        <w:tc>
          <w:tcPr>
            <w:tcW w:w="2745" w:type="dxa"/>
            <w:tcBorders>
              <w:top w:val="outset" w:sz="6" w:space="0" w:color="auto"/>
              <w:left w:val="outset" w:sz="6" w:space="0" w:color="auto"/>
              <w:bottom w:val="outset" w:sz="6" w:space="0" w:color="auto"/>
              <w:right w:val="outset" w:sz="6" w:space="0" w:color="auto"/>
            </w:tcBorders>
            <w:hideMark/>
          </w:tcPr>
          <w:p w14:paraId="2345197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dual PPAR </w:t>
            </w:r>
            <w:r w:rsidRPr="00E56A40">
              <w:rPr>
                <w:rFonts w:ascii="Times New Roman" w:eastAsia="Times New Roman" w:hAnsi="Times New Roman" w:cs="Times New Roman"/>
                <w:sz w:val="24"/>
                <w:szCs w:val="24"/>
                <w:lang w:eastAsia="pl-PL"/>
              </w:rPr>
              <w:t>α</w:t>
            </w:r>
            <w:r w:rsidRPr="00FF4196">
              <w:rPr>
                <w:rFonts w:ascii="Times New Roman" w:eastAsia="Times New Roman" w:hAnsi="Times New Roman" w:cs="Times New Roman"/>
                <w:sz w:val="24"/>
                <w:szCs w:val="24"/>
                <w:lang w:val="en-US" w:eastAsia="pl-PL"/>
              </w:rPr>
              <w:t>/</w:t>
            </w:r>
            <w:r w:rsidRPr="00E56A40">
              <w:rPr>
                <w:rFonts w:ascii="Times New Roman" w:eastAsia="Times New Roman" w:hAnsi="Times New Roman" w:cs="Times New Roman"/>
                <w:sz w:val="24"/>
                <w:szCs w:val="24"/>
                <w:lang w:eastAsia="pl-PL"/>
              </w:rPr>
              <w:t>γ</w:t>
            </w:r>
            <w:r w:rsidRPr="00FF4196">
              <w:rPr>
                <w:rFonts w:ascii="Times New Roman" w:eastAsia="Times New Roman" w:hAnsi="Times New Roman" w:cs="Times New Roman"/>
                <w:sz w:val="24"/>
                <w:szCs w:val="24"/>
                <w:lang w:val="en-US" w:eastAsia="pl-PL"/>
              </w:rPr>
              <w:t xml:space="preserve"> agonist</w:t>
            </w:r>
          </w:p>
        </w:tc>
        <w:tc>
          <w:tcPr>
            <w:tcW w:w="1905" w:type="dxa"/>
            <w:tcBorders>
              <w:top w:val="outset" w:sz="6" w:space="0" w:color="auto"/>
              <w:left w:val="outset" w:sz="6" w:space="0" w:color="auto"/>
              <w:bottom w:val="outset" w:sz="6" w:space="0" w:color="auto"/>
              <w:right w:val="outset" w:sz="6" w:space="0" w:color="auto"/>
            </w:tcBorders>
            <w:hideMark/>
          </w:tcPr>
          <w:p w14:paraId="2CEF346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Kim et al. 2012</w:t>
            </w:r>
          </w:p>
        </w:tc>
      </w:tr>
      <w:tr w:rsidR="00E56A40" w:rsidRPr="00E56A40" w14:paraId="2B43D4EA"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3DC9D31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xylem, shoots</w:t>
            </w:r>
          </w:p>
        </w:tc>
        <w:tc>
          <w:tcPr>
            <w:tcW w:w="2205" w:type="dxa"/>
            <w:tcBorders>
              <w:top w:val="outset" w:sz="6" w:space="0" w:color="auto"/>
              <w:left w:val="outset" w:sz="6" w:space="0" w:color="auto"/>
              <w:bottom w:val="outset" w:sz="6" w:space="0" w:color="auto"/>
              <w:right w:val="outset" w:sz="6" w:space="0" w:color="auto"/>
            </w:tcBorders>
            <w:hideMark/>
          </w:tcPr>
          <w:p w14:paraId="02B4BFE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buffers</w:t>
            </w:r>
          </w:p>
        </w:tc>
        <w:tc>
          <w:tcPr>
            <w:tcW w:w="2805" w:type="dxa"/>
            <w:tcBorders>
              <w:top w:val="outset" w:sz="6" w:space="0" w:color="auto"/>
              <w:left w:val="outset" w:sz="6" w:space="0" w:color="auto"/>
              <w:bottom w:val="outset" w:sz="6" w:space="0" w:color="auto"/>
              <w:right w:val="outset" w:sz="6" w:space="0" w:color="auto"/>
            </w:tcBorders>
            <w:hideMark/>
          </w:tcPr>
          <w:p w14:paraId="6B32B58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4-Coumarate: coenzyme A ligase</w:t>
            </w:r>
          </w:p>
        </w:tc>
        <w:tc>
          <w:tcPr>
            <w:tcW w:w="2745" w:type="dxa"/>
            <w:tcBorders>
              <w:top w:val="outset" w:sz="6" w:space="0" w:color="auto"/>
              <w:left w:val="outset" w:sz="6" w:space="0" w:color="auto"/>
              <w:bottom w:val="outset" w:sz="6" w:space="0" w:color="auto"/>
              <w:right w:val="outset" w:sz="6" w:space="0" w:color="auto"/>
            </w:tcBorders>
            <w:hideMark/>
          </w:tcPr>
          <w:p w14:paraId="136A766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conversion of sinapate to sinapoyl CoA</w:t>
            </w:r>
          </w:p>
        </w:tc>
        <w:tc>
          <w:tcPr>
            <w:tcW w:w="1905" w:type="dxa"/>
            <w:tcBorders>
              <w:top w:val="outset" w:sz="6" w:space="0" w:color="auto"/>
              <w:left w:val="outset" w:sz="6" w:space="0" w:color="auto"/>
              <w:bottom w:val="outset" w:sz="6" w:space="0" w:color="auto"/>
              <w:right w:val="outset" w:sz="6" w:space="0" w:color="auto"/>
            </w:tcBorders>
            <w:hideMark/>
          </w:tcPr>
          <w:p w14:paraId="764E0C8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Hamada et al. 2004</w:t>
            </w:r>
          </w:p>
        </w:tc>
      </w:tr>
      <w:tr w:rsidR="00E56A40" w:rsidRPr="00FF4196" w14:paraId="588D4254"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644BD34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bark, phloem</w:t>
            </w:r>
          </w:p>
        </w:tc>
        <w:tc>
          <w:tcPr>
            <w:tcW w:w="2205" w:type="dxa"/>
            <w:tcBorders>
              <w:top w:val="outset" w:sz="6" w:space="0" w:color="auto"/>
              <w:left w:val="outset" w:sz="6" w:space="0" w:color="auto"/>
              <w:bottom w:val="outset" w:sz="6" w:space="0" w:color="auto"/>
              <w:right w:val="outset" w:sz="6" w:space="0" w:color="auto"/>
            </w:tcBorders>
            <w:hideMark/>
          </w:tcPr>
          <w:p w14:paraId="4BF4FC1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PBS buffer</w:t>
            </w:r>
          </w:p>
        </w:tc>
        <w:tc>
          <w:tcPr>
            <w:tcW w:w="2805" w:type="dxa"/>
            <w:tcBorders>
              <w:top w:val="outset" w:sz="6" w:space="0" w:color="auto"/>
              <w:left w:val="outset" w:sz="6" w:space="0" w:color="auto"/>
              <w:bottom w:val="outset" w:sz="6" w:space="0" w:color="auto"/>
              <w:right w:val="outset" w:sz="6" w:space="0" w:color="auto"/>
            </w:tcBorders>
            <w:hideMark/>
          </w:tcPr>
          <w:p w14:paraId="1078127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lectin</w:t>
            </w:r>
          </w:p>
        </w:tc>
        <w:tc>
          <w:tcPr>
            <w:tcW w:w="2745" w:type="dxa"/>
            <w:tcBorders>
              <w:top w:val="outset" w:sz="6" w:space="0" w:color="auto"/>
              <w:left w:val="outset" w:sz="6" w:space="0" w:color="auto"/>
              <w:bottom w:val="outset" w:sz="6" w:space="0" w:color="auto"/>
              <w:right w:val="outset" w:sz="6" w:space="0" w:color="auto"/>
            </w:tcBorders>
            <w:hideMark/>
          </w:tcPr>
          <w:p w14:paraId="696A233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galactose-related sugars binding</w:t>
            </w:r>
          </w:p>
        </w:tc>
        <w:tc>
          <w:tcPr>
            <w:tcW w:w="1905" w:type="dxa"/>
            <w:tcBorders>
              <w:top w:val="outset" w:sz="6" w:space="0" w:color="auto"/>
              <w:left w:val="outset" w:sz="6" w:space="0" w:color="auto"/>
              <w:bottom w:val="outset" w:sz="6" w:space="0" w:color="auto"/>
              <w:right w:val="outset" w:sz="6" w:space="0" w:color="auto"/>
            </w:tcBorders>
            <w:hideMark/>
          </w:tcPr>
          <w:p w14:paraId="27D60512"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Nishiguchi et al. 1997; Gietl &amp; Ziegler, 1980; Sulzenbacher et al. 2015</w:t>
            </w:r>
          </w:p>
        </w:tc>
      </w:tr>
      <w:tr w:rsidR="00E56A40" w:rsidRPr="00E56A40" w14:paraId="6CA1FEF5"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3E36729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w:t>
            </w:r>
          </w:p>
        </w:tc>
        <w:tc>
          <w:tcPr>
            <w:tcW w:w="2205" w:type="dxa"/>
            <w:tcBorders>
              <w:top w:val="outset" w:sz="6" w:space="0" w:color="auto"/>
              <w:left w:val="outset" w:sz="6" w:space="0" w:color="auto"/>
              <w:bottom w:val="outset" w:sz="6" w:space="0" w:color="auto"/>
              <w:right w:val="outset" w:sz="6" w:space="0" w:color="auto"/>
            </w:tcBorders>
            <w:hideMark/>
          </w:tcPr>
          <w:p w14:paraId="49D7288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water, petroleum ether, ethyl acetate or </w:t>
            </w:r>
            <w:r w:rsidRPr="00FF4196">
              <w:rPr>
                <w:rFonts w:ascii="Times New Roman" w:eastAsia="Times New Roman" w:hAnsi="Times New Roman" w:cs="Times New Roman"/>
                <w:i/>
                <w:iCs/>
                <w:sz w:val="24"/>
                <w:szCs w:val="24"/>
                <w:lang w:val="en-US" w:eastAsia="pl-PL"/>
              </w:rPr>
              <w:t>n</w:t>
            </w:r>
            <w:r w:rsidRPr="00FF4196">
              <w:rPr>
                <w:rFonts w:ascii="Times New Roman" w:eastAsia="Times New Roman" w:hAnsi="Times New Roman" w:cs="Times New Roman"/>
                <w:sz w:val="24"/>
                <w:szCs w:val="24"/>
                <w:lang w:val="en-US" w:eastAsia="pl-PL"/>
              </w:rPr>
              <w:t>-butanol extract from lyophilised ethanolic extract</w:t>
            </w:r>
          </w:p>
        </w:tc>
        <w:tc>
          <w:tcPr>
            <w:tcW w:w="2805" w:type="dxa"/>
            <w:tcBorders>
              <w:top w:val="outset" w:sz="6" w:space="0" w:color="auto"/>
              <w:left w:val="outset" w:sz="6" w:space="0" w:color="auto"/>
              <w:bottom w:val="outset" w:sz="6" w:space="0" w:color="auto"/>
              <w:right w:val="outset" w:sz="6" w:space="0" w:color="auto"/>
            </w:tcBorders>
            <w:hideMark/>
          </w:tcPr>
          <w:p w14:paraId="5E39BD4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745" w:type="dxa"/>
            <w:tcBorders>
              <w:top w:val="outset" w:sz="6" w:space="0" w:color="auto"/>
              <w:left w:val="outset" w:sz="6" w:space="0" w:color="auto"/>
              <w:bottom w:val="outset" w:sz="6" w:space="0" w:color="auto"/>
              <w:right w:val="outset" w:sz="6" w:space="0" w:color="auto"/>
            </w:tcBorders>
            <w:hideMark/>
          </w:tcPr>
          <w:p w14:paraId="681FDDA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antifungal</w:t>
            </w:r>
          </w:p>
        </w:tc>
        <w:tc>
          <w:tcPr>
            <w:tcW w:w="1905" w:type="dxa"/>
            <w:tcBorders>
              <w:top w:val="outset" w:sz="6" w:space="0" w:color="auto"/>
              <w:left w:val="outset" w:sz="6" w:space="0" w:color="auto"/>
              <w:bottom w:val="outset" w:sz="6" w:space="0" w:color="auto"/>
              <w:right w:val="outset" w:sz="6" w:space="0" w:color="auto"/>
            </w:tcBorders>
            <w:hideMark/>
          </w:tcPr>
          <w:p w14:paraId="29884A9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Zhang et al. 2008</w:t>
            </w:r>
          </w:p>
        </w:tc>
      </w:tr>
      <w:tr w:rsidR="00E56A40" w:rsidRPr="00E56A40" w14:paraId="43B56BA4"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1DBEEC2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w:t>
            </w:r>
          </w:p>
        </w:tc>
        <w:tc>
          <w:tcPr>
            <w:tcW w:w="2205" w:type="dxa"/>
            <w:tcBorders>
              <w:top w:val="outset" w:sz="6" w:space="0" w:color="auto"/>
              <w:left w:val="outset" w:sz="6" w:space="0" w:color="auto"/>
              <w:bottom w:val="outset" w:sz="6" w:space="0" w:color="auto"/>
              <w:right w:val="outset" w:sz="6" w:space="0" w:color="auto"/>
            </w:tcBorders>
            <w:hideMark/>
          </w:tcPr>
          <w:p w14:paraId="4075497D"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water, petroleum ether, ethyl acetate or </w:t>
            </w:r>
            <w:r w:rsidRPr="00FF4196">
              <w:rPr>
                <w:rFonts w:ascii="Times New Roman" w:eastAsia="Times New Roman" w:hAnsi="Times New Roman" w:cs="Times New Roman"/>
                <w:i/>
                <w:iCs/>
                <w:sz w:val="24"/>
                <w:szCs w:val="24"/>
                <w:lang w:val="en-US" w:eastAsia="pl-PL"/>
              </w:rPr>
              <w:t>n</w:t>
            </w:r>
            <w:r w:rsidRPr="00FF4196">
              <w:rPr>
                <w:rFonts w:ascii="Times New Roman" w:eastAsia="Times New Roman" w:hAnsi="Times New Roman" w:cs="Times New Roman"/>
                <w:sz w:val="24"/>
                <w:szCs w:val="24"/>
                <w:lang w:val="en-US" w:eastAsia="pl-PL"/>
              </w:rPr>
              <w:t>-butanol extract from lyophilised ethanolic extract</w:t>
            </w:r>
          </w:p>
        </w:tc>
        <w:tc>
          <w:tcPr>
            <w:tcW w:w="2805" w:type="dxa"/>
            <w:tcBorders>
              <w:top w:val="outset" w:sz="6" w:space="0" w:color="auto"/>
              <w:left w:val="outset" w:sz="6" w:space="0" w:color="auto"/>
              <w:bottom w:val="outset" w:sz="6" w:space="0" w:color="auto"/>
              <w:right w:val="outset" w:sz="6" w:space="0" w:color="auto"/>
            </w:tcBorders>
            <w:hideMark/>
          </w:tcPr>
          <w:p w14:paraId="6E910D4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D-pinitol</w:t>
            </w:r>
          </w:p>
        </w:tc>
        <w:tc>
          <w:tcPr>
            <w:tcW w:w="2745" w:type="dxa"/>
            <w:tcBorders>
              <w:top w:val="outset" w:sz="6" w:space="0" w:color="auto"/>
              <w:left w:val="outset" w:sz="6" w:space="0" w:color="auto"/>
              <w:bottom w:val="outset" w:sz="6" w:space="0" w:color="auto"/>
              <w:right w:val="outset" w:sz="6" w:space="0" w:color="auto"/>
            </w:tcBorders>
            <w:hideMark/>
          </w:tcPr>
          <w:p w14:paraId="4DB7914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antifungal</w:t>
            </w:r>
          </w:p>
        </w:tc>
        <w:tc>
          <w:tcPr>
            <w:tcW w:w="1905" w:type="dxa"/>
            <w:tcBorders>
              <w:top w:val="outset" w:sz="6" w:space="0" w:color="auto"/>
              <w:left w:val="outset" w:sz="6" w:space="0" w:color="auto"/>
              <w:bottom w:val="outset" w:sz="6" w:space="0" w:color="auto"/>
              <w:right w:val="outset" w:sz="6" w:space="0" w:color="auto"/>
            </w:tcBorders>
            <w:hideMark/>
          </w:tcPr>
          <w:p w14:paraId="164DDA1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Chen &amp; Dai, 2014</w:t>
            </w:r>
          </w:p>
        </w:tc>
      </w:tr>
      <w:tr w:rsidR="00E56A40" w:rsidRPr="00E56A40" w14:paraId="611B0E7E"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21EF5C0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 and flowers</w:t>
            </w:r>
          </w:p>
        </w:tc>
        <w:tc>
          <w:tcPr>
            <w:tcW w:w="2205" w:type="dxa"/>
            <w:tcBorders>
              <w:top w:val="outset" w:sz="6" w:space="0" w:color="auto"/>
              <w:left w:val="outset" w:sz="6" w:space="0" w:color="auto"/>
              <w:bottom w:val="outset" w:sz="6" w:space="0" w:color="auto"/>
              <w:right w:val="outset" w:sz="6" w:space="0" w:color="auto"/>
            </w:tcBorders>
            <w:hideMark/>
          </w:tcPr>
          <w:p w14:paraId="76A95BA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methanolic and water extract</w:t>
            </w:r>
          </w:p>
        </w:tc>
        <w:tc>
          <w:tcPr>
            <w:tcW w:w="2805" w:type="dxa"/>
            <w:tcBorders>
              <w:top w:val="outset" w:sz="6" w:space="0" w:color="auto"/>
              <w:left w:val="outset" w:sz="6" w:space="0" w:color="auto"/>
              <w:bottom w:val="outset" w:sz="6" w:space="0" w:color="auto"/>
              <w:right w:val="outset" w:sz="6" w:space="0" w:color="auto"/>
            </w:tcBorders>
            <w:hideMark/>
          </w:tcPr>
          <w:p w14:paraId="5A2D952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flavone glycosides (acacetin, robinin)</w:t>
            </w:r>
          </w:p>
        </w:tc>
        <w:tc>
          <w:tcPr>
            <w:tcW w:w="2745" w:type="dxa"/>
            <w:tcBorders>
              <w:top w:val="outset" w:sz="6" w:space="0" w:color="auto"/>
              <w:left w:val="outset" w:sz="6" w:space="0" w:color="auto"/>
              <w:bottom w:val="outset" w:sz="6" w:space="0" w:color="auto"/>
              <w:right w:val="outset" w:sz="6" w:space="0" w:color="auto"/>
            </w:tcBorders>
            <w:hideMark/>
          </w:tcPr>
          <w:p w14:paraId="21BF7BF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905" w:type="dxa"/>
            <w:tcBorders>
              <w:top w:val="outset" w:sz="6" w:space="0" w:color="auto"/>
              <w:left w:val="outset" w:sz="6" w:space="0" w:color="auto"/>
              <w:bottom w:val="outset" w:sz="6" w:space="0" w:color="auto"/>
              <w:right w:val="outset" w:sz="6" w:space="0" w:color="auto"/>
            </w:tcBorders>
            <w:hideMark/>
          </w:tcPr>
          <w:p w14:paraId="4A029BA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Veitch et al. 2010</w:t>
            </w:r>
          </w:p>
        </w:tc>
      </w:tr>
      <w:tr w:rsidR="00E56A40" w:rsidRPr="00E56A40" w14:paraId="0EF96C4E"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6607DF0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w:t>
            </w:r>
          </w:p>
        </w:tc>
        <w:tc>
          <w:tcPr>
            <w:tcW w:w="2205" w:type="dxa"/>
            <w:tcBorders>
              <w:top w:val="outset" w:sz="6" w:space="0" w:color="auto"/>
              <w:left w:val="outset" w:sz="6" w:space="0" w:color="auto"/>
              <w:bottom w:val="outset" w:sz="6" w:space="0" w:color="auto"/>
              <w:right w:val="outset" w:sz="6" w:space="0" w:color="auto"/>
            </w:tcBorders>
            <w:hideMark/>
          </w:tcPr>
          <w:p w14:paraId="5703CE8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acetone containing</w:t>
            </w:r>
          </w:p>
          <w:p w14:paraId="48181492"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either ascorbic or acetic acid extracts</w:t>
            </w:r>
          </w:p>
        </w:tc>
        <w:tc>
          <w:tcPr>
            <w:tcW w:w="2805" w:type="dxa"/>
            <w:tcBorders>
              <w:top w:val="outset" w:sz="6" w:space="0" w:color="auto"/>
              <w:left w:val="outset" w:sz="6" w:space="0" w:color="auto"/>
              <w:bottom w:val="outset" w:sz="6" w:space="0" w:color="auto"/>
              <w:right w:val="outset" w:sz="6" w:space="0" w:color="auto"/>
            </w:tcBorders>
            <w:hideMark/>
          </w:tcPr>
          <w:p w14:paraId="5EDA0FF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tannins</w:t>
            </w:r>
          </w:p>
        </w:tc>
        <w:tc>
          <w:tcPr>
            <w:tcW w:w="2745" w:type="dxa"/>
            <w:tcBorders>
              <w:top w:val="outset" w:sz="6" w:space="0" w:color="auto"/>
              <w:left w:val="outset" w:sz="6" w:space="0" w:color="auto"/>
              <w:bottom w:val="outset" w:sz="6" w:space="0" w:color="auto"/>
              <w:right w:val="outset" w:sz="6" w:space="0" w:color="auto"/>
            </w:tcBorders>
            <w:hideMark/>
          </w:tcPr>
          <w:p w14:paraId="6EA331E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anthelmintic, antioxidative</w:t>
            </w:r>
          </w:p>
        </w:tc>
        <w:tc>
          <w:tcPr>
            <w:tcW w:w="1905" w:type="dxa"/>
            <w:tcBorders>
              <w:top w:val="outset" w:sz="6" w:space="0" w:color="auto"/>
              <w:left w:val="outset" w:sz="6" w:space="0" w:color="auto"/>
              <w:bottom w:val="outset" w:sz="6" w:space="0" w:color="auto"/>
              <w:right w:val="outset" w:sz="6" w:space="0" w:color="auto"/>
            </w:tcBorders>
            <w:hideMark/>
          </w:tcPr>
          <w:p w14:paraId="05BF179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Katiki et al. 2013</w:t>
            </w:r>
          </w:p>
        </w:tc>
      </w:tr>
      <w:tr w:rsidR="00E56A40" w:rsidRPr="00E56A40" w14:paraId="0E273D17"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11BC9B6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wood dust</w:t>
            </w:r>
          </w:p>
        </w:tc>
        <w:tc>
          <w:tcPr>
            <w:tcW w:w="2205" w:type="dxa"/>
            <w:tcBorders>
              <w:top w:val="outset" w:sz="6" w:space="0" w:color="auto"/>
              <w:left w:val="outset" w:sz="6" w:space="0" w:color="auto"/>
              <w:bottom w:val="outset" w:sz="6" w:space="0" w:color="auto"/>
              <w:right w:val="outset" w:sz="6" w:space="0" w:color="auto"/>
            </w:tcBorders>
            <w:hideMark/>
          </w:tcPr>
          <w:p w14:paraId="0BA227D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t>
            </w:r>
          </w:p>
        </w:tc>
        <w:tc>
          <w:tcPr>
            <w:tcW w:w="2805" w:type="dxa"/>
            <w:tcBorders>
              <w:top w:val="outset" w:sz="6" w:space="0" w:color="auto"/>
              <w:left w:val="outset" w:sz="6" w:space="0" w:color="auto"/>
              <w:bottom w:val="outset" w:sz="6" w:space="0" w:color="auto"/>
              <w:right w:val="outset" w:sz="6" w:space="0" w:color="auto"/>
            </w:tcBorders>
            <w:hideMark/>
          </w:tcPr>
          <w:p w14:paraId="66E02FA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wood allergens</w:t>
            </w:r>
          </w:p>
        </w:tc>
        <w:tc>
          <w:tcPr>
            <w:tcW w:w="2745" w:type="dxa"/>
            <w:tcBorders>
              <w:top w:val="outset" w:sz="6" w:space="0" w:color="auto"/>
              <w:left w:val="outset" w:sz="6" w:space="0" w:color="auto"/>
              <w:bottom w:val="outset" w:sz="6" w:space="0" w:color="auto"/>
              <w:right w:val="outset" w:sz="6" w:space="0" w:color="auto"/>
            </w:tcBorders>
            <w:hideMark/>
          </w:tcPr>
          <w:p w14:paraId="41905EB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allergenic (asthma)</w:t>
            </w:r>
          </w:p>
        </w:tc>
        <w:tc>
          <w:tcPr>
            <w:tcW w:w="1905" w:type="dxa"/>
            <w:tcBorders>
              <w:top w:val="outset" w:sz="6" w:space="0" w:color="auto"/>
              <w:left w:val="outset" w:sz="6" w:space="0" w:color="auto"/>
              <w:bottom w:val="outset" w:sz="6" w:space="0" w:color="auto"/>
              <w:right w:val="outset" w:sz="6" w:space="0" w:color="auto"/>
            </w:tcBorders>
            <w:hideMark/>
          </w:tcPr>
          <w:p w14:paraId="5A8DD4B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Kespohl et al. 2006</w:t>
            </w:r>
          </w:p>
        </w:tc>
      </w:tr>
      <w:tr w:rsidR="00E56A40" w:rsidRPr="00E56A40" w14:paraId="5D2CDEB1"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125F5A7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whole tree</w:t>
            </w:r>
          </w:p>
        </w:tc>
        <w:tc>
          <w:tcPr>
            <w:tcW w:w="2205" w:type="dxa"/>
            <w:tcBorders>
              <w:top w:val="outset" w:sz="6" w:space="0" w:color="auto"/>
              <w:left w:val="outset" w:sz="6" w:space="0" w:color="auto"/>
              <w:bottom w:val="outset" w:sz="6" w:space="0" w:color="auto"/>
              <w:right w:val="outset" w:sz="6" w:space="0" w:color="auto"/>
            </w:tcBorders>
            <w:hideMark/>
          </w:tcPr>
          <w:p w14:paraId="6F1D9F0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ethanolic extract</w:t>
            </w:r>
          </w:p>
        </w:tc>
        <w:tc>
          <w:tcPr>
            <w:tcW w:w="2805" w:type="dxa"/>
            <w:tcBorders>
              <w:top w:val="outset" w:sz="6" w:space="0" w:color="auto"/>
              <w:left w:val="outset" w:sz="6" w:space="0" w:color="auto"/>
              <w:bottom w:val="outset" w:sz="6" w:space="0" w:color="auto"/>
              <w:right w:val="outset" w:sz="6" w:space="0" w:color="auto"/>
            </w:tcBorders>
            <w:hideMark/>
          </w:tcPr>
          <w:p w14:paraId="5E69D02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acacetin, secundiflorol I, mucronulatol, isomucronulatol, isovestitol</w:t>
            </w:r>
          </w:p>
        </w:tc>
        <w:tc>
          <w:tcPr>
            <w:tcW w:w="2745" w:type="dxa"/>
            <w:tcBorders>
              <w:top w:val="outset" w:sz="6" w:space="0" w:color="auto"/>
              <w:left w:val="outset" w:sz="6" w:space="0" w:color="auto"/>
              <w:bottom w:val="outset" w:sz="6" w:space="0" w:color="auto"/>
              <w:right w:val="outset" w:sz="6" w:space="0" w:color="auto"/>
            </w:tcBorders>
            <w:hideMark/>
          </w:tcPr>
          <w:p w14:paraId="1C63BD3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cytotoxic</w:t>
            </w:r>
          </w:p>
        </w:tc>
        <w:tc>
          <w:tcPr>
            <w:tcW w:w="1905" w:type="dxa"/>
            <w:tcBorders>
              <w:top w:val="outset" w:sz="6" w:space="0" w:color="auto"/>
              <w:left w:val="outset" w:sz="6" w:space="0" w:color="auto"/>
              <w:bottom w:val="outset" w:sz="6" w:space="0" w:color="auto"/>
              <w:right w:val="outset" w:sz="6" w:space="0" w:color="auto"/>
            </w:tcBorders>
            <w:hideMark/>
          </w:tcPr>
          <w:p w14:paraId="395DC3C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Tian &amp; McLaughlin, 2000</w:t>
            </w:r>
          </w:p>
        </w:tc>
      </w:tr>
      <w:tr w:rsidR="00E56A40" w:rsidRPr="00E56A40" w14:paraId="2D6EB350"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1D6822F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plant branches</w:t>
            </w:r>
          </w:p>
        </w:tc>
        <w:tc>
          <w:tcPr>
            <w:tcW w:w="2205" w:type="dxa"/>
            <w:tcBorders>
              <w:top w:val="outset" w:sz="6" w:space="0" w:color="auto"/>
              <w:left w:val="outset" w:sz="6" w:space="0" w:color="auto"/>
              <w:bottom w:val="outset" w:sz="6" w:space="0" w:color="auto"/>
              <w:right w:val="outset" w:sz="6" w:space="0" w:color="auto"/>
            </w:tcBorders>
            <w:hideMark/>
          </w:tcPr>
          <w:p w14:paraId="3F1312F6"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water, n-hexane, chloroform, ethyl acetate and n-butanol extract from lyophilised methanolic extract</w:t>
            </w:r>
          </w:p>
        </w:tc>
        <w:tc>
          <w:tcPr>
            <w:tcW w:w="2805" w:type="dxa"/>
            <w:tcBorders>
              <w:top w:val="outset" w:sz="6" w:space="0" w:color="auto"/>
              <w:left w:val="outset" w:sz="6" w:space="0" w:color="auto"/>
              <w:bottom w:val="outset" w:sz="6" w:space="0" w:color="auto"/>
              <w:right w:val="outset" w:sz="6" w:space="0" w:color="auto"/>
            </w:tcBorders>
            <w:hideMark/>
          </w:tcPr>
          <w:p w14:paraId="59CB330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acacetin, amygdalin, fisetin, taxifolin, myricetin, apigenin, rutin</w:t>
            </w:r>
          </w:p>
        </w:tc>
        <w:tc>
          <w:tcPr>
            <w:tcW w:w="2745" w:type="dxa"/>
            <w:tcBorders>
              <w:top w:val="outset" w:sz="6" w:space="0" w:color="auto"/>
              <w:left w:val="outset" w:sz="6" w:space="0" w:color="auto"/>
              <w:bottom w:val="outset" w:sz="6" w:space="0" w:color="auto"/>
              <w:right w:val="outset" w:sz="6" w:space="0" w:color="auto"/>
            </w:tcBorders>
            <w:hideMark/>
          </w:tcPr>
          <w:p w14:paraId="6372185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antibacterial</w:t>
            </w:r>
          </w:p>
        </w:tc>
        <w:tc>
          <w:tcPr>
            <w:tcW w:w="1905" w:type="dxa"/>
            <w:tcBorders>
              <w:top w:val="outset" w:sz="6" w:space="0" w:color="auto"/>
              <w:left w:val="outset" w:sz="6" w:space="0" w:color="auto"/>
              <w:bottom w:val="outset" w:sz="6" w:space="0" w:color="auto"/>
              <w:right w:val="outset" w:sz="6" w:space="0" w:color="auto"/>
            </w:tcBorders>
            <w:hideMark/>
          </w:tcPr>
          <w:p w14:paraId="2B1DB32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Patra et al. 2015</w:t>
            </w:r>
          </w:p>
        </w:tc>
      </w:tr>
      <w:tr w:rsidR="00E56A40" w:rsidRPr="00E56A40" w14:paraId="3DD5ADB4"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0AE1DD3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root-tip</w:t>
            </w:r>
          </w:p>
        </w:tc>
        <w:tc>
          <w:tcPr>
            <w:tcW w:w="2205" w:type="dxa"/>
            <w:tcBorders>
              <w:top w:val="outset" w:sz="6" w:space="0" w:color="auto"/>
              <w:left w:val="outset" w:sz="6" w:space="0" w:color="auto"/>
              <w:bottom w:val="outset" w:sz="6" w:space="0" w:color="auto"/>
              <w:right w:val="outset" w:sz="6" w:space="0" w:color="auto"/>
            </w:tcBorders>
            <w:hideMark/>
          </w:tcPr>
          <w:p w14:paraId="15F0D9C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PBS buffer with2-mercaptoethanol</w:t>
            </w:r>
          </w:p>
        </w:tc>
        <w:tc>
          <w:tcPr>
            <w:tcW w:w="2805" w:type="dxa"/>
            <w:tcBorders>
              <w:top w:val="outset" w:sz="6" w:space="0" w:color="auto"/>
              <w:left w:val="outset" w:sz="6" w:space="0" w:color="auto"/>
              <w:bottom w:val="outset" w:sz="6" w:space="0" w:color="auto"/>
              <w:right w:val="outset" w:sz="6" w:space="0" w:color="auto"/>
            </w:tcBorders>
            <w:hideMark/>
          </w:tcPr>
          <w:p w14:paraId="53DE993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lectins</w:t>
            </w:r>
          </w:p>
        </w:tc>
        <w:tc>
          <w:tcPr>
            <w:tcW w:w="2745" w:type="dxa"/>
            <w:tcBorders>
              <w:top w:val="outset" w:sz="6" w:space="0" w:color="auto"/>
              <w:left w:val="outset" w:sz="6" w:space="0" w:color="auto"/>
              <w:bottom w:val="outset" w:sz="6" w:space="0" w:color="auto"/>
              <w:right w:val="outset" w:sz="6" w:space="0" w:color="auto"/>
            </w:tcBorders>
            <w:hideMark/>
          </w:tcPr>
          <w:p w14:paraId="1DA9374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horse erythrocyte agglutination</w:t>
            </w:r>
          </w:p>
        </w:tc>
        <w:tc>
          <w:tcPr>
            <w:tcW w:w="1905" w:type="dxa"/>
            <w:tcBorders>
              <w:top w:val="outset" w:sz="6" w:space="0" w:color="auto"/>
              <w:left w:val="outset" w:sz="6" w:space="0" w:color="auto"/>
              <w:bottom w:val="outset" w:sz="6" w:space="0" w:color="auto"/>
              <w:right w:val="outset" w:sz="6" w:space="0" w:color="auto"/>
            </w:tcBorders>
            <w:hideMark/>
          </w:tcPr>
          <w:p w14:paraId="7FBAD6F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Duverger &amp; Demotte, 1997</w:t>
            </w:r>
          </w:p>
        </w:tc>
      </w:tr>
      <w:tr w:rsidR="00E56A40" w:rsidRPr="00FF4196" w14:paraId="10F3C1CB"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4975A27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205" w:type="dxa"/>
            <w:tcBorders>
              <w:top w:val="outset" w:sz="6" w:space="0" w:color="auto"/>
              <w:left w:val="outset" w:sz="6" w:space="0" w:color="auto"/>
              <w:bottom w:val="outset" w:sz="6" w:space="0" w:color="auto"/>
              <w:right w:val="outset" w:sz="6" w:space="0" w:color="auto"/>
            </w:tcBorders>
            <w:hideMark/>
          </w:tcPr>
          <w:p w14:paraId="40E775E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water</w:t>
            </w:r>
          </w:p>
        </w:tc>
        <w:tc>
          <w:tcPr>
            <w:tcW w:w="2805" w:type="dxa"/>
            <w:tcBorders>
              <w:top w:val="outset" w:sz="6" w:space="0" w:color="auto"/>
              <w:left w:val="outset" w:sz="6" w:space="0" w:color="auto"/>
              <w:bottom w:val="outset" w:sz="6" w:space="0" w:color="auto"/>
              <w:right w:val="outset" w:sz="6" w:space="0" w:color="auto"/>
            </w:tcBorders>
            <w:hideMark/>
          </w:tcPr>
          <w:p w14:paraId="0AA3906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agglutinin</w:t>
            </w:r>
          </w:p>
        </w:tc>
        <w:tc>
          <w:tcPr>
            <w:tcW w:w="2745" w:type="dxa"/>
            <w:tcBorders>
              <w:top w:val="outset" w:sz="6" w:space="0" w:color="auto"/>
              <w:left w:val="outset" w:sz="6" w:space="0" w:color="auto"/>
              <w:bottom w:val="outset" w:sz="6" w:space="0" w:color="auto"/>
              <w:right w:val="outset" w:sz="6" w:space="0" w:color="auto"/>
            </w:tcBorders>
            <w:hideMark/>
          </w:tcPr>
          <w:p w14:paraId="3FE7F66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anthelmintic</w:t>
            </w:r>
          </w:p>
        </w:tc>
        <w:tc>
          <w:tcPr>
            <w:tcW w:w="1905" w:type="dxa"/>
            <w:tcBorders>
              <w:top w:val="outset" w:sz="6" w:space="0" w:color="auto"/>
              <w:left w:val="outset" w:sz="6" w:space="0" w:color="auto"/>
              <w:bottom w:val="outset" w:sz="6" w:space="0" w:color="auto"/>
              <w:right w:val="outset" w:sz="6" w:space="0" w:color="auto"/>
            </w:tcBorders>
            <w:hideMark/>
          </w:tcPr>
          <w:p w14:paraId="40E449E6"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Ríos-de Álvarez et al. 2012</w:t>
            </w:r>
          </w:p>
        </w:tc>
      </w:tr>
      <w:tr w:rsidR="00E56A40" w:rsidRPr="00E56A40" w14:paraId="1F9C3E1E"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725E35E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205" w:type="dxa"/>
            <w:tcBorders>
              <w:top w:val="outset" w:sz="6" w:space="0" w:color="auto"/>
              <w:left w:val="outset" w:sz="6" w:space="0" w:color="auto"/>
              <w:bottom w:val="outset" w:sz="6" w:space="0" w:color="auto"/>
              <w:right w:val="outset" w:sz="6" w:space="0" w:color="auto"/>
            </w:tcBorders>
            <w:hideMark/>
          </w:tcPr>
          <w:p w14:paraId="2347B33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ethanolic extracts</w:t>
            </w:r>
          </w:p>
        </w:tc>
        <w:tc>
          <w:tcPr>
            <w:tcW w:w="2805" w:type="dxa"/>
            <w:tcBorders>
              <w:top w:val="outset" w:sz="6" w:space="0" w:color="auto"/>
              <w:left w:val="outset" w:sz="6" w:space="0" w:color="auto"/>
              <w:bottom w:val="outset" w:sz="6" w:space="0" w:color="auto"/>
              <w:right w:val="outset" w:sz="6" w:space="0" w:color="auto"/>
            </w:tcBorders>
            <w:hideMark/>
          </w:tcPr>
          <w:p w14:paraId="10B42BF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robinlin (C11 homo-monoterpene)</w:t>
            </w:r>
          </w:p>
        </w:tc>
        <w:tc>
          <w:tcPr>
            <w:tcW w:w="2745" w:type="dxa"/>
            <w:tcBorders>
              <w:top w:val="outset" w:sz="6" w:space="0" w:color="auto"/>
              <w:left w:val="outset" w:sz="6" w:space="0" w:color="auto"/>
              <w:bottom w:val="outset" w:sz="6" w:space="0" w:color="auto"/>
              <w:right w:val="outset" w:sz="6" w:space="0" w:color="auto"/>
            </w:tcBorders>
            <w:hideMark/>
          </w:tcPr>
          <w:p w14:paraId="6B075F6C"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cytotoxic in 7-days MTT assay and in BST assay</w:t>
            </w:r>
          </w:p>
        </w:tc>
        <w:tc>
          <w:tcPr>
            <w:tcW w:w="1905" w:type="dxa"/>
            <w:tcBorders>
              <w:top w:val="outset" w:sz="6" w:space="0" w:color="auto"/>
              <w:left w:val="outset" w:sz="6" w:space="0" w:color="auto"/>
              <w:bottom w:val="outset" w:sz="6" w:space="0" w:color="auto"/>
              <w:right w:val="outset" w:sz="6" w:space="0" w:color="auto"/>
            </w:tcBorders>
            <w:hideMark/>
          </w:tcPr>
          <w:p w14:paraId="14E4910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Tian et al. 2001</w:t>
            </w:r>
          </w:p>
        </w:tc>
      </w:tr>
      <w:tr w:rsidR="00E56A40" w:rsidRPr="00E56A40" w14:paraId="5E15B0D3"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4807BB7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205" w:type="dxa"/>
            <w:tcBorders>
              <w:top w:val="outset" w:sz="6" w:space="0" w:color="auto"/>
              <w:left w:val="outset" w:sz="6" w:space="0" w:color="auto"/>
              <w:bottom w:val="outset" w:sz="6" w:space="0" w:color="auto"/>
              <w:right w:val="outset" w:sz="6" w:space="0" w:color="auto"/>
            </w:tcBorders>
            <w:hideMark/>
          </w:tcPr>
          <w:p w14:paraId="6BAEE73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c>
        <w:tc>
          <w:tcPr>
            <w:tcW w:w="2805" w:type="dxa"/>
            <w:tcBorders>
              <w:top w:val="outset" w:sz="6" w:space="0" w:color="auto"/>
              <w:left w:val="outset" w:sz="6" w:space="0" w:color="auto"/>
              <w:bottom w:val="outset" w:sz="6" w:space="0" w:color="auto"/>
              <w:right w:val="outset" w:sz="6" w:space="0" w:color="auto"/>
            </w:tcBorders>
            <w:hideMark/>
          </w:tcPr>
          <w:p w14:paraId="2FEA25C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toxoalbumin</w:t>
            </w:r>
          </w:p>
        </w:tc>
        <w:tc>
          <w:tcPr>
            <w:tcW w:w="2745" w:type="dxa"/>
            <w:tcBorders>
              <w:top w:val="outset" w:sz="6" w:space="0" w:color="auto"/>
              <w:left w:val="outset" w:sz="6" w:space="0" w:color="auto"/>
              <w:bottom w:val="outset" w:sz="6" w:space="0" w:color="auto"/>
              <w:right w:val="outset" w:sz="6" w:space="0" w:color="auto"/>
            </w:tcBorders>
            <w:hideMark/>
          </w:tcPr>
          <w:p w14:paraId="44B7ADF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toxic</w:t>
            </w:r>
          </w:p>
        </w:tc>
        <w:tc>
          <w:tcPr>
            <w:tcW w:w="1905" w:type="dxa"/>
            <w:tcBorders>
              <w:top w:val="outset" w:sz="6" w:space="0" w:color="auto"/>
              <w:left w:val="outset" w:sz="6" w:space="0" w:color="auto"/>
              <w:bottom w:val="outset" w:sz="6" w:space="0" w:color="auto"/>
              <w:right w:val="outset" w:sz="6" w:space="0" w:color="auto"/>
            </w:tcBorders>
            <w:hideMark/>
          </w:tcPr>
          <w:p w14:paraId="5598B2F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Kaland et al. 2015</w:t>
            </w:r>
          </w:p>
        </w:tc>
      </w:tr>
    </w:tbl>
    <w:p w14:paraId="012D705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 no data</w:t>
      </w:r>
    </w:p>
    <w:p w14:paraId="473C4DD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6F840C5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p w14:paraId="37D9A6D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Talas-Oğraş T, Ipekçi Z, Bajroviç K, Gözükirmizi N., Antibacterial activity of seed proteins of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Fitoterapia. 2005;76(1):67-72.</w:t>
      </w:r>
    </w:p>
    <w:p w14:paraId="33E171AC"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Tian F, Chang CJ, Grutzner JB, Nichols DE, McLaughlin JL. Robinlin: a novel bioactive homo-monoterpene from </w:t>
      </w:r>
      <w:r w:rsidRPr="00FF4196">
        <w:rPr>
          <w:rFonts w:ascii="Times New Roman" w:eastAsia="Times New Roman" w:hAnsi="Times New Roman" w:cs="Times New Roman"/>
          <w:i/>
          <w:iCs/>
          <w:sz w:val="24"/>
          <w:szCs w:val="24"/>
          <w:lang w:val="en-US" w:eastAsia="pl-PL"/>
        </w:rPr>
        <w:t xml:space="preserve">Robinia pseudoacacia </w:t>
      </w:r>
      <w:r w:rsidRPr="00FF4196">
        <w:rPr>
          <w:rFonts w:ascii="Times New Roman" w:eastAsia="Times New Roman" w:hAnsi="Times New Roman" w:cs="Times New Roman"/>
          <w:sz w:val="24"/>
          <w:szCs w:val="24"/>
          <w:lang w:val="en-US" w:eastAsia="pl-PL"/>
        </w:rPr>
        <w:t>L. (Fabaceae). Bioorg Med Chem Lett. 2001;11(19):2603-6.</w:t>
      </w:r>
    </w:p>
    <w:p w14:paraId="6AD2B3D7"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Spiteller P, Steglich W. Biosynthesis of 2-aminobenzaldehyde in flowers of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and </w:t>
      </w:r>
      <w:r w:rsidRPr="00FF4196">
        <w:rPr>
          <w:rFonts w:ascii="Times New Roman" w:eastAsia="Times New Roman" w:hAnsi="Times New Roman" w:cs="Times New Roman"/>
          <w:i/>
          <w:iCs/>
          <w:sz w:val="24"/>
          <w:szCs w:val="24"/>
          <w:lang w:val="en-US" w:eastAsia="pl-PL"/>
        </w:rPr>
        <w:t>Philadelphus coronarius</w:t>
      </w:r>
      <w:r w:rsidRPr="00FF4196">
        <w:rPr>
          <w:rFonts w:ascii="Times New Roman" w:eastAsia="Times New Roman" w:hAnsi="Times New Roman" w:cs="Times New Roman"/>
          <w:sz w:val="24"/>
          <w:szCs w:val="24"/>
          <w:lang w:val="en-US" w:eastAsia="pl-PL"/>
        </w:rPr>
        <w:t>. Phytochemistry. 2001;57(3):361-3.</w:t>
      </w:r>
    </w:p>
    <w:p w14:paraId="304A2F93"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Nishiguchi M, Yoshida K, Sumizono T, Tazaki K. Studies by site-directed mutagenesis of the carbohydrate-binding properties of a bark lectin from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FEBS Lett. 1997;403(3):294-8.</w:t>
      </w:r>
    </w:p>
    <w:p w14:paraId="290FE69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Gietl C, Ziegler H. Distribution of Carbohydrate-binding Proteins in Different Tissues of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L. Biochem Physiol Pflanzen. 1980;175:58-66.</w:t>
      </w:r>
    </w:p>
    <w:p w14:paraId="620E97B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Veitch NC, Elliott PC, Kite GC, Lewis GP. Flavonoid glycosides of the black locust tree,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(Leguminosae). Phytochemistry. 2010;71(4):479-86.</w:t>
      </w:r>
    </w:p>
    <w:p w14:paraId="64DFCF73"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Kaland ME, Klein-Schwartz W, Anderson BD. Toxalbumin exposures: 12 years' experience of U.S. poison centers. Toxicon. 2015;99:125-9.</w:t>
      </w:r>
    </w:p>
    <w:p w14:paraId="79266BE8"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Yang S, Li G, Zhao Z, Feng M, Fu J, Huang Z, Song M, Lin S. The Taishan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polysaccharides enhance immune effects of rabbit haemorrhagic disease virus inactivated vaccines. Microbial Pathog. 2017;112:70-75.</w:t>
      </w:r>
    </w:p>
    <w:p w14:paraId="52068A28"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Kespohl S, Merget R, Overlack A, Raulf-Heimsoth M. Detection of novel occupational wood allergens in locust wood dust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L.). J Allergy Clin Immunol. 2006;118(2):522-524.</w:t>
      </w:r>
    </w:p>
    <w:p w14:paraId="5FEF098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lastRenderedPageBreak/>
        <w:t xml:space="preserve">Zhang ZY, Dai GH, Zhuge YY, Li YB. Protective effect of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Linn1 extracts against cucumber powdery mildew fungus, </w:t>
      </w:r>
      <w:r w:rsidRPr="00FF4196">
        <w:rPr>
          <w:rFonts w:ascii="Times New Roman" w:eastAsia="Times New Roman" w:hAnsi="Times New Roman" w:cs="Times New Roman"/>
          <w:i/>
          <w:iCs/>
          <w:sz w:val="24"/>
          <w:szCs w:val="24"/>
          <w:lang w:val="en-US" w:eastAsia="pl-PL"/>
        </w:rPr>
        <w:t xml:space="preserve">Sphaerotheca fuliginea. </w:t>
      </w:r>
      <w:r w:rsidRPr="00FF4196">
        <w:rPr>
          <w:rFonts w:ascii="Times New Roman" w:eastAsia="Times New Roman" w:hAnsi="Times New Roman" w:cs="Times New Roman"/>
          <w:sz w:val="24"/>
          <w:szCs w:val="24"/>
          <w:lang w:val="en-US" w:eastAsia="pl-PL"/>
        </w:rPr>
        <w:t>Crop Protect. 2008;27:920-925.</w:t>
      </w:r>
    </w:p>
    <w:p w14:paraId="704C860F"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Jiang H, Wang J, Song L, Cao X, Yao X, Tang F, Yue Y. Chemical composition of an insecticidal extract from </w:t>
      </w:r>
      <w:r w:rsidRPr="00FF4196">
        <w:rPr>
          <w:rFonts w:ascii="Times New Roman" w:eastAsia="Times New Roman" w:hAnsi="Times New Roman" w:cs="Times New Roman"/>
          <w:i/>
          <w:iCs/>
          <w:sz w:val="24"/>
          <w:szCs w:val="24"/>
          <w:lang w:val="en-US" w:eastAsia="pl-PL"/>
        </w:rPr>
        <w:t xml:space="preserve">Robinia pseudacacia </w:t>
      </w:r>
      <w:r w:rsidRPr="00FF4196">
        <w:rPr>
          <w:rFonts w:ascii="Times New Roman" w:eastAsia="Times New Roman" w:hAnsi="Times New Roman" w:cs="Times New Roman"/>
          <w:sz w:val="24"/>
          <w:szCs w:val="24"/>
          <w:lang w:val="en-US" w:eastAsia="pl-PL"/>
        </w:rPr>
        <w:t>L. seeds and it's efficacy against aphids in oilseed rape. Crop Protect. 2018;104:1-6.</w:t>
      </w:r>
    </w:p>
    <w:p w14:paraId="42BFD26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Chen J, Dai G-H. Effect of d-pinitol isolated and identified from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against cucumber powdery mildew. Scientia Horticulturae, 2014;176:38-44.</w:t>
      </w:r>
    </w:p>
    <w:p w14:paraId="53F6A07D"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Sarikurkcua C, Kocak MS, Tepec B, Uren MC. An alternative antioxidative and enzyme inhibitory agent fromTurkey: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L. Ind. Crops Prod. 2015;78:110-115.</w:t>
      </w:r>
    </w:p>
    <w:p w14:paraId="3777BFA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Sulzenbacher G, Roig-Zamboni V, Peumans WJ, Henrissat B, van Damme EJM, Bourne Y. Structural basis for carbohydrate binding properties of a plant chitinase-like agglutinin with conserved catalytic machinery. J Struct Biol 2015;190:115-121.</w:t>
      </w:r>
    </w:p>
    <w:p w14:paraId="0800B7F3"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Liang MF, Liu GH, Zhao QY, Yang SF, Zhong SX, Cui GL, He XH, Zhao X, Guo FX, Wu C, Zhu RL. Effects of Taishan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Polysaccharides on immune function in chickens. Int Immunopharmacol. 2013;15(4):661-5.</w:t>
      </w:r>
    </w:p>
    <w:p w14:paraId="1E9D9AE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Tian F, McLaughlin JL. Bioactive flavonoids from the black locust tree, </w:t>
      </w:r>
      <w:r w:rsidRPr="00FF4196">
        <w:rPr>
          <w:rFonts w:ascii="Times New Roman" w:eastAsia="Times New Roman" w:hAnsi="Times New Roman" w:cs="Times New Roman"/>
          <w:i/>
          <w:iCs/>
          <w:sz w:val="24"/>
          <w:szCs w:val="24"/>
          <w:lang w:val="en-US" w:eastAsia="pl-PL"/>
        </w:rPr>
        <w:t xml:space="preserve">Robinia pseudoacacia. </w:t>
      </w:r>
      <w:r w:rsidRPr="00FF4196">
        <w:rPr>
          <w:rFonts w:ascii="Times New Roman" w:eastAsia="Times New Roman" w:hAnsi="Times New Roman" w:cs="Times New Roman"/>
          <w:sz w:val="24"/>
          <w:szCs w:val="24"/>
          <w:lang w:val="en-US" w:eastAsia="pl-PL"/>
        </w:rPr>
        <w:t>Pharmaceut Biol 2000;38(3):229-234.</w:t>
      </w:r>
    </w:p>
    <w:p w14:paraId="1F4D5209"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Hamada K, Nishida T, Yamauchi K, Fukushima K, Kondo R, Tsutsumi Y. 4-Coumarate:coenzyme A ligase in black locust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catalyses the conversion of sinapate to sinapoyl-CoA. J Plant Res. 2004;117(4):303-10.</w:t>
      </w:r>
    </w:p>
    <w:p w14:paraId="7450F83C"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Compés E, Hernández E, Quirce S, Palomares O, Rodríguez R, Cuesta J, Sastre J, Villalba M. Hypersensitivity to black locust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pollen: "allergy mirages". Ann Allergy Asthma Immunol. 2006;96(4):586-92.</w:t>
      </w:r>
    </w:p>
    <w:p w14:paraId="6150154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Kim T, Lee W, Jeong KH, Song JH, Park SH, Choi P, Kim SN, Lee S, Ham J. Total synthesis and dual PPAR</w:t>
      </w:r>
      <w:r w:rsidRPr="00E56A40">
        <w:rPr>
          <w:rFonts w:ascii="Times New Roman" w:eastAsia="Times New Roman" w:hAnsi="Times New Roman" w:cs="Times New Roman"/>
          <w:sz w:val="24"/>
          <w:szCs w:val="24"/>
          <w:lang w:eastAsia="pl-PL"/>
        </w:rPr>
        <w:t>α</w:t>
      </w:r>
      <w:r w:rsidRPr="00FF4196">
        <w:rPr>
          <w:rFonts w:ascii="Times New Roman" w:eastAsia="Times New Roman" w:hAnsi="Times New Roman" w:cs="Times New Roman"/>
          <w:sz w:val="24"/>
          <w:szCs w:val="24"/>
          <w:lang w:val="en-US" w:eastAsia="pl-PL"/>
        </w:rPr>
        <w:t>/</w:t>
      </w:r>
      <w:r w:rsidRPr="00E56A40">
        <w:rPr>
          <w:rFonts w:ascii="Times New Roman" w:eastAsia="Times New Roman" w:hAnsi="Times New Roman" w:cs="Times New Roman"/>
          <w:sz w:val="24"/>
          <w:szCs w:val="24"/>
          <w:lang w:eastAsia="pl-PL"/>
        </w:rPr>
        <w:t>γ</w:t>
      </w:r>
      <w:r w:rsidRPr="00FF4196">
        <w:rPr>
          <w:rFonts w:ascii="Times New Roman" w:eastAsia="Times New Roman" w:hAnsi="Times New Roman" w:cs="Times New Roman"/>
          <w:sz w:val="24"/>
          <w:szCs w:val="24"/>
          <w:lang w:val="en-US" w:eastAsia="pl-PL"/>
        </w:rPr>
        <w:t xml:space="preserve"> agonist effects of amorphastilbol and its synthetic derivatives. Bioorg Med Chem Lett. 2012;22(12):4122-6.</w:t>
      </w:r>
    </w:p>
    <w:p w14:paraId="584C110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Ríos-de Álvarez L, Jackson F, Greer A, Bartley Y, Bartley DJ, Grant G, Huntley JF.</w:t>
      </w:r>
      <w:r w:rsidRPr="00FF4196">
        <w:rPr>
          <w:rFonts w:ascii="Times New Roman" w:eastAsia="Times New Roman" w:hAnsi="Times New Roman" w:cs="Times New Roman"/>
          <w:i/>
          <w:iCs/>
          <w:sz w:val="24"/>
          <w:szCs w:val="24"/>
          <w:lang w:val="en-US" w:eastAsia="pl-PL"/>
        </w:rPr>
        <w:t xml:space="preserve"> In vitro</w:t>
      </w:r>
      <w:r w:rsidRPr="00FF4196">
        <w:rPr>
          <w:rFonts w:ascii="Times New Roman" w:eastAsia="Times New Roman" w:hAnsi="Times New Roman" w:cs="Times New Roman"/>
          <w:sz w:val="24"/>
          <w:szCs w:val="24"/>
          <w:lang w:val="en-US" w:eastAsia="pl-PL"/>
        </w:rPr>
        <w:t xml:space="preserve"> screening of plant lectins and tropical plant extracts for anthelmintic properties. Vet Parasitol. 2012;186(3-4):390-8.</w:t>
      </w:r>
    </w:p>
    <w:p w14:paraId="79368FD6"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Katiki LM, Ferreira JF, Gonzalez JM, Zajac AM, Lindsay DS, Chagas AC, Amarante AF. Anthelmintic effect of plant extracts containing condensed and hydrolyzable tannins on </w:t>
      </w:r>
      <w:r w:rsidRPr="00FF4196">
        <w:rPr>
          <w:rFonts w:ascii="Times New Roman" w:eastAsia="Times New Roman" w:hAnsi="Times New Roman" w:cs="Times New Roman"/>
          <w:i/>
          <w:iCs/>
          <w:sz w:val="24"/>
          <w:szCs w:val="24"/>
          <w:lang w:val="en-US" w:eastAsia="pl-PL"/>
        </w:rPr>
        <w:t>Caenorhabditis elegans</w:t>
      </w:r>
      <w:r w:rsidRPr="00FF4196">
        <w:rPr>
          <w:rFonts w:ascii="Times New Roman" w:eastAsia="Times New Roman" w:hAnsi="Times New Roman" w:cs="Times New Roman"/>
          <w:sz w:val="24"/>
          <w:szCs w:val="24"/>
          <w:lang w:val="en-US" w:eastAsia="pl-PL"/>
        </w:rPr>
        <w:t>, and their antioxidant capacity. Vet Parasitol. 2013;192(1-3):218-27.</w:t>
      </w:r>
    </w:p>
    <w:p w14:paraId="3D38F177"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Patra JK, Kim ES, Oh K, Kim HJ, Dhakal R, Kim Y, Baek KH. Bactericidal effect of extracts and metabolites of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L. on </w:t>
      </w:r>
      <w:r w:rsidRPr="00FF4196">
        <w:rPr>
          <w:rFonts w:ascii="Times New Roman" w:eastAsia="Times New Roman" w:hAnsi="Times New Roman" w:cs="Times New Roman"/>
          <w:i/>
          <w:iCs/>
          <w:sz w:val="24"/>
          <w:szCs w:val="24"/>
          <w:lang w:val="en-US" w:eastAsia="pl-PL"/>
        </w:rPr>
        <w:t>Streptococcus mutans</w:t>
      </w:r>
      <w:r w:rsidRPr="00FF4196">
        <w:rPr>
          <w:rFonts w:ascii="Times New Roman" w:eastAsia="Times New Roman" w:hAnsi="Times New Roman" w:cs="Times New Roman"/>
          <w:sz w:val="24"/>
          <w:szCs w:val="24"/>
          <w:lang w:val="en-US" w:eastAsia="pl-PL"/>
        </w:rPr>
        <w:t xml:space="preserve"> and </w:t>
      </w:r>
      <w:r w:rsidRPr="00FF4196">
        <w:rPr>
          <w:rFonts w:ascii="Times New Roman" w:eastAsia="Times New Roman" w:hAnsi="Times New Roman" w:cs="Times New Roman"/>
          <w:i/>
          <w:iCs/>
          <w:sz w:val="24"/>
          <w:szCs w:val="24"/>
          <w:lang w:val="en-US" w:eastAsia="pl-PL"/>
        </w:rPr>
        <w:t xml:space="preserve">Porphyromonas gingivalis </w:t>
      </w:r>
      <w:r w:rsidRPr="00FF4196">
        <w:rPr>
          <w:rFonts w:ascii="Times New Roman" w:eastAsia="Times New Roman" w:hAnsi="Times New Roman" w:cs="Times New Roman"/>
          <w:sz w:val="24"/>
          <w:szCs w:val="24"/>
          <w:lang w:val="en-US" w:eastAsia="pl-PL"/>
        </w:rPr>
        <w:t>causing dental plaque and periodontal inflammatory diseases. Molecules. 2015;20(4):6128-39.</w:t>
      </w:r>
    </w:p>
    <w:p w14:paraId="4C942B4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lang w:val="en-US" w:eastAsia="pl-PL"/>
        </w:rPr>
        <w:lastRenderedPageBreak/>
        <w:t xml:space="preserve">Duverger E, Delmotte FM. Purification of lectins from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L. root-tips. </w:t>
      </w:r>
      <w:r w:rsidRPr="00E56A40">
        <w:rPr>
          <w:rFonts w:ascii="Times New Roman" w:eastAsia="Times New Roman" w:hAnsi="Times New Roman" w:cs="Times New Roman"/>
          <w:sz w:val="24"/>
          <w:szCs w:val="24"/>
          <w:lang w:eastAsia="pl-PL"/>
        </w:rPr>
        <w:t>Plant Science. 1997;123:9-18.</w:t>
      </w:r>
    </w:p>
    <w:p w14:paraId="6B4D6D2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1462598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Salix purpurea</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6"/>
        <w:gridCol w:w="1902"/>
        <w:gridCol w:w="2329"/>
        <w:gridCol w:w="2061"/>
        <w:gridCol w:w="1588"/>
      </w:tblGrid>
      <w:tr w:rsidR="00E56A40" w:rsidRPr="00E56A40" w14:paraId="3152EC03"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1C104A9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Source</w:t>
            </w:r>
          </w:p>
        </w:tc>
        <w:tc>
          <w:tcPr>
            <w:tcW w:w="2205" w:type="dxa"/>
            <w:tcBorders>
              <w:top w:val="outset" w:sz="6" w:space="0" w:color="auto"/>
              <w:left w:val="outset" w:sz="6" w:space="0" w:color="auto"/>
              <w:bottom w:val="outset" w:sz="6" w:space="0" w:color="auto"/>
              <w:right w:val="outset" w:sz="6" w:space="0" w:color="auto"/>
            </w:tcBorders>
            <w:hideMark/>
          </w:tcPr>
          <w:p w14:paraId="380B049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Extraction methods/solvent</w:t>
            </w:r>
          </w:p>
        </w:tc>
        <w:tc>
          <w:tcPr>
            <w:tcW w:w="2805" w:type="dxa"/>
            <w:tcBorders>
              <w:top w:val="outset" w:sz="6" w:space="0" w:color="auto"/>
              <w:left w:val="outset" w:sz="6" w:space="0" w:color="auto"/>
              <w:bottom w:val="outset" w:sz="6" w:space="0" w:color="auto"/>
              <w:right w:val="outset" w:sz="6" w:space="0" w:color="auto"/>
            </w:tcBorders>
            <w:hideMark/>
          </w:tcPr>
          <w:p w14:paraId="19BCA88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Compound</w:t>
            </w:r>
          </w:p>
        </w:tc>
        <w:tc>
          <w:tcPr>
            <w:tcW w:w="2745" w:type="dxa"/>
            <w:tcBorders>
              <w:top w:val="outset" w:sz="6" w:space="0" w:color="auto"/>
              <w:left w:val="outset" w:sz="6" w:space="0" w:color="auto"/>
              <w:bottom w:val="outset" w:sz="6" w:space="0" w:color="auto"/>
              <w:right w:val="outset" w:sz="6" w:space="0" w:color="auto"/>
            </w:tcBorders>
            <w:hideMark/>
          </w:tcPr>
          <w:p w14:paraId="7599B39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Biological activity</w:t>
            </w:r>
          </w:p>
        </w:tc>
        <w:tc>
          <w:tcPr>
            <w:tcW w:w="1905" w:type="dxa"/>
            <w:tcBorders>
              <w:top w:val="outset" w:sz="6" w:space="0" w:color="auto"/>
              <w:left w:val="outset" w:sz="6" w:space="0" w:color="auto"/>
              <w:bottom w:val="outset" w:sz="6" w:space="0" w:color="auto"/>
              <w:right w:val="outset" w:sz="6" w:space="0" w:color="auto"/>
            </w:tcBorders>
            <w:hideMark/>
          </w:tcPr>
          <w:p w14:paraId="248C317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tc>
      </w:tr>
      <w:tr w:rsidR="00E56A40" w:rsidRPr="00E56A40" w14:paraId="76B000B1"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55350EF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bark</w:t>
            </w:r>
          </w:p>
        </w:tc>
        <w:tc>
          <w:tcPr>
            <w:tcW w:w="2205" w:type="dxa"/>
            <w:tcBorders>
              <w:top w:val="outset" w:sz="6" w:space="0" w:color="auto"/>
              <w:left w:val="outset" w:sz="6" w:space="0" w:color="auto"/>
              <w:bottom w:val="outset" w:sz="6" w:space="0" w:color="auto"/>
              <w:right w:val="outset" w:sz="6" w:space="0" w:color="auto"/>
            </w:tcBorders>
            <w:hideMark/>
          </w:tcPr>
          <w:p w14:paraId="6F8D39A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ethanolic extract</w:t>
            </w:r>
          </w:p>
        </w:tc>
        <w:tc>
          <w:tcPr>
            <w:tcW w:w="2805" w:type="dxa"/>
            <w:tcBorders>
              <w:top w:val="outset" w:sz="6" w:space="0" w:color="auto"/>
              <w:left w:val="outset" w:sz="6" w:space="0" w:color="auto"/>
              <w:bottom w:val="outset" w:sz="6" w:space="0" w:color="auto"/>
              <w:right w:val="outset" w:sz="6" w:space="0" w:color="auto"/>
            </w:tcBorders>
            <w:hideMark/>
          </w:tcPr>
          <w:p w14:paraId="17E9C6E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flavan-3-ols, procyanidins</w:t>
            </w:r>
          </w:p>
        </w:tc>
        <w:tc>
          <w:tcPr>
            <w:tcW w:w="2745" w:type="dxa"/>
            <w:tcBorders>
              <w:top w:val="outset" w:sz="6" w:space="0" w:color="auto"/>
              <w:left w:val="outset" w:sz="6" w:space="0" w:color="auto"/>
              <w:bottom w:val="outset" w:sz="6" w:space="0" w:color="auto"/>
              <w:right w:val="outset" w:sz="6" w:space="0" w:color="auto"/>
            </w:tcBorders>
            <w:hideMark/>
          </w:tcPr>
          <w:p w14:paraId="7E7FB8D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905" w:type="dxa"/>
            <w:tcBorders>
              <w:top w:val="outset" w:sz="6" w:space="0" w:color="auto"/>
              <w:left w:val="outset" w:sz="6" w:space="0" w:color="auto"/>
              <w:bottom w:val="outset" w:sz="6" w:space="0" w:color="auto"/>
              <w:right w:val="outset" w:sz="6" w:space="0" w:color="auto"/>
            </w:tcBorders>
            <w:hideMark/>
          </w:tcPr>
          <w:p w14:paraId="04E23FA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Jürgenliemk et al. 2006</w:t>
            </w:r>
          </w:p>
        </w:tc>
      </w:tr>
      <w:tr w:rsidR="00E56A40" w:rsidRPr="00E56A40" w14:paraId="6B8B90BD"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5917742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bark</w:t>
            </w:r>
          </w:p>
        </w:tc>
        <w:tc>
          <w:tcPr>
            <w:tcW w:w="2205" w:type="dxa"/>
            <w:tcBorders>
              <w:top w:val="outset" w:sz="6" w:space="0" w:color="auto"/>
              <w:left w:val="outset" w:sz="6" w:space="0" w:color="auto"/>
              <w:bottom w:val="outset" w:sz="6" w:space="0" w:color="auto"/>
              <w:right w:val="outset" w:sz="6" w:space="0" w:color="auto"/>
            </w:tcBorders>
            <w:hideMark/>
          </w:tcPr>
          <w:p w14:paraId="73CF945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water extract</w:t>
            </w:r>
          </w:p>
        </w:tc>
        <w:tc>
          <w:tcPr>
            <w:tcW w:w="2805" w:type="dxa"/>
            <w:tcBorders>
              <w:top w:val="outset" w:sz="6" w:space="0" w:color="auto"/>
              <w:left w:val="outset" w:sz="6" w:space="0" w:color="auto"/>
              <w:bottom w:val="outset" w:sz="6" w:space="0" w:color="auto"/>
              <w:right w:val="outset" w:sz="6" w:space="0" w:color="auto"/>
            </w:tcBorders>
            <w:hideMark/>
          </w:tcPr>
          <w:p w14:paraId="7D7BCDA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phenolic</w:t>
            </w:r>
          </w:p>
        </w:tc>
        <w:tc>
          <w:tcPr>
            <w:tcW w:w="2745" w:type="dxa"/>
            <w:tcBorders>
              <w:top w:val="outset" w:sz="6" w:space="0" w:color="auto"/>
              <w:left w:val="outset" w:sz="6" w:space="0" w:color="auto"/>
              <w:bottom w:val="outset" w:sz="6" w:space="0" w:color="auto"/>
              <w:right w:val="outset" w:sz="6" w:space="0" w:color="auto"/>
            </w:tcBorders>
            <w:hideMark/>
          </w:tcPr>
          <w:p w14:paraId="118EB66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antioxidative</w:t>
            </w:r>
          </w:p>
        </w:tc>
        <w:tc>
          <w:tcPr>
            <w:tcW w:w="1905" w:type="dxa"/>
            <w:tcBorders>
              <w:top w:val="outset" w:sz="6" w:space="0" w:color="auto"/>
              <w:left w:val="outset" w:sz="6" w:space="0" w:color="auto"/>
              <w:bottom w:val="outset" w:sz="6" w:space="0" w:color="auto"/>
              <w:right w:val="outset" w:sz="6" w:space="0" w:color="auto"/>
            </w:tcBorders>
            <w:hideMark/>
          </w:tcPr>
          <w:p w14:paraId="2AF747D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Durak &amp; Gawlik-Dziki, 2014; Durak et al. 2015</w:t>
            </w:r>
          </w:p>
        </w:tc>
      </w:tr>
      <w:tr w:rsidR="00E56A40" w:rsidRPr="00E56A40" w14:paraId="27B8475F"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643CA51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bark</w:t>
            </w:r>
          </w:p>
        </w:tc>
        <w:tc>
          <w:tcPr>
            <w:tcW w:w="2205" w:type="dxa"/>
            <w:tcBorders>
              <w:top w:val="outset" w:sz="6" w:space="0" w:color="auto"/>
              <w:left w:val="outset" w:sz="6" w:space="0" w:color="auto"/>
              <w:bottom w:val="outset" w:sz="6" w:space="0" w:color="auto"/>
              <w:right w:val="outset" w:sz="6" w:space="0" w:color="auto"/>
            </w:tcBorders>
            <w:hideMark/>
          </w:tcPr>
          <w:p w14:paraId="05970628"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n-hexane, ethyl acetate or n-butanol, ethanol extract from water extract</w:t>
            </w:r>
          </w:p>
        </w:tc>
        <w:tc>
          <w:tcPr>
            <w:tcW w:w="2805" w:type="dxa"/>
            <w:tcBorders>
              <w:top w:val="outset" w:sz="6" w:space="0" w:color="auto"/>
              <w:left w:val="outset" w:sz="6" w:space="0" w:color="auto"/>
              <w:bottom w:val="outset" w:sz="6" w:space="0" w:color="auto"/>
              <w:right w:val="outset" w:sz="6" w:space="0" w:color="auto"/>
            </w:tcBorders>
            <w:hideMark/>
          </w:tcPr>
          <w:p w14:paraId="0DD3DDF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flavonoids, catechol</w:t>
            </w:r>
          </w:p>
        </w:tc>
        <w:tc>
          <w:tcPr>
            <w:tcW w:w="2745" w:type="dxa"/>
            <w:tcBorders>
              <w:top w:val="outset" w:sz="6" w:space="0" w:color="auto"/>
              <w:left w:val="outset" w:sz="6" w:space="0" w:color="auto"/>
              <w:bottom w:val="outset" w:sz="6" w:space="0" w:color="auto"/>
              <w:right w:val="outset" w:sz="6" w:space="0" w:color="auto"/>
            </w:tcBorders>
            <w:hideMark/>
          </w:tcPr>
          <w:p w14:paraId="13F7E1E5"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inhibitory</w:t>
            </w:r>
          </w:p>
          <w:p w14:paraId="27A1BD66"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activity on TNF-</w:t>
            </w:r>
            <w:r w:rsidRPr="00E56A40">
              <w:rPr>
                <w:rFonts w:ascii="Times New Roman" w:eastAsia="Times New Roman" w:hAnsi="Times New Roman" w:cs="Times New Roman"/>
                <w:sz w:val="24"/>
                <w:szCs w:val="24"/>
                <w:lang w:eastAsia="pl-PL"/>
              </w:rPr>
              <w:t>α</w:t>
            </w:r>
            <w:r w:rsidRPr="00FF4196">
              <w:rPr>
                <w:rFonts w:ascii="Times New Roman" w:eastAsia="Times New Roman" w:hAnsi="Times New Roman" w:cs="Times New Roman"/>
                <w:sz w:val="24"/>
                <w:szCs w:val="24"/>
                <w:lang w:val="en-US" w:eastAsia="pl-PL"/>
              </w:rPr>
              <w:t xml:space="preserve"> induced ICAM-1 expression in human microvascular endothelial cells (HMEC-1)</w:t>
            </w:r>
          </w:p>
        </w:tc>
        <w:tc>
          <w:tcPr>
            <w:tcW w:w="1905" w:type="dxa"/>
            <w:tcBorders>
              <w:top w:val="outset" w:sz="6" w:space="0" w:color="auto"/>
              <w:left w:val="outset" w:sz="6" w:space="0" w:color="auto"/>
              <w:bottom w:val="outset" w:sz="6" w:space="0" w:color="auto"/>
              <w:right w:val="outset" w:sz="6" w:space="0" w:color="auto"/>
            </w:tcBorders>
            <w:hideMark/>
          </w:tcPr>
          <w:p w14:paraId="02EBB62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Freischmidt et al. 2012</w:t>
            </w:r>
          </w:p>
        </w:tc>
      </w:tr>
      <w:tr w:rsidR="00E56A40" w:rsidRPr="00E56A40" w14:paraId="0F62226E"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6396C06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bark</w:t>
            </w:r>
          </w:p>
        </w:tc>
        <w:tc>
          <w:tcPr>
            <w:tcW w:w="2205" w:type="dxa"/>
            <w:tcBorders>
              <w:top w:val="outset" w:sz="6" w:space="0" w:color="auto"/>
              <w:left w:val="outset" w:sz="6" w:space="0" w:color="auto"/>
              <w:bottom w:val="outset" w:sz="6" w:space="0" w:color="auto"/>
              <w:right w:val="outset" w:sz="6" w:space="0" w:color="auto"/>
            </w:tcBorders>
            <w:hideMark/>
          </w:tcPr>
          <w:p w14:paraId="295F5B4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ethanolic extract</w:t>
            </w:r>
          </w:p>
        </w:tc>
        <w:tc>
          <w:tcPr>
            <w:tcW w:w="2805" w:type="dxa"/>
            <w:tcBorders>
              <w:top w:val="outset" w:sz="6" w:space="0" w:color="auto"/>
              <w:left w:val="outset" w:sz="6" w:space="0" w:color="auto"/>
              <w:bottom w:val="outset" w:sz="6" w:space="0" w:color="auto"/>
              <w:right w:val="outset" w:sz="6" w:space="0" w:color="auto"/>
            </w:tcBorders>
            <w:hideMark/>
          </w:tcPr>
          <w:p w14:paraId="4A3D66F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saligenin, salicylic acid, salicin, isosalicin, picein, salidroside,</w:t>
            </w:r>
          </w:p>
          <w:p w14:paraId="30A31593"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triandrin, salicoylsalicin, salicortin, isosalipurposide, salipurposide, naringenin-7-</w:t>
            </w:r>
            <w:r w:rsidRPr="00FF4196">
              <w:rPr>
                <w:rFonts w:ascii="Times New Roman" w:eastAsia="Times New Roman" w:hAnsi="Times New Roman" w:cs="Times New Roman"/>
                <w:i/>
                <w:iCs/>
                <w:sz w:val="24"/>
                <w:szCs w:val="24"/>
                <w:lang w:val="en-US" w:eastAsia="pl-PL"/>
              </w:rPr>
              <w:t>O</w:t>
            </w:r>
            <w:r w:rsidRPr="00FF4196">
              <w:rPr>
                <w:rFonts w:ascii="Times New Roman" w:eastAsia="Times New Roman" w:hAnsi="Times New Roman" w:cs="Times New Roman"/>
                <w:sz w:val="24"/>
                <w:szCs w:val="24"/>
                <w:lang w:val="en-US" w:eastAsia="pl-PL"/>
              </w:rPr>
              <w:t>-glucoside, tremulacin</w:t>
            </w:r>
          </w:p>
        </w:tc>
        <w:tc>
          <w:tcPr>
            <w:tcW w:w="2745" w:type="dxa"/>
            <w:tcBorders>
              <w:top w:val="outset" w:sz="6" w:space="0" w:color="auto"/>
              <w:left w:val="outset" w:sz="6" w:space="0" w:color="auto"/>
              <w:bottom w:val="outset" w:sz="6" w:space="0" w:color="auto"/>
              <w:right w:val="outset" w:sz="6" w:space="0" w:color="auto"/>
            </w:tcBorders>
            <w:hideMark/>
          </w:tcPr>
          <w:p w14:paraId="7B7F831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905" w:type="dxa"/>
            <w:tcBorders>
              <w:top w:val="outset" w:sz="6" w:space="0" w:color="auto"/>
              <w:left w:val="outset" w:sz="6" w:space="0" w:color="auto"/>
              <w:bottom w:val="outset" w:sz="6" w:space="0" w:color="auto"/>
              <w:right w:val="outset" w:sz="6" w:space="0" w:color="auto"/>
            </w:tcBorders>
            <w:hideMark/>
          </w:tcPr>
          <w:p w14:paraId="65D3F4C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Kammerer et al. 2005</w:t>
            </w:r>
          </w:p>
        </w:tc>
      </w:tr>
      <w:tr w:rsidR="00E56A40" w:rsidRPr="00E56A40" w14:paraId="7FC09D58"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42CF88E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bark</w:t>
            </w:r>
          </w:p>
        </w:tc>
        <w:tc>
          <w:tcPr>
            <w:tcW w:w="2205" w:type="dxa"/>
            <w:tcBorders>
              <w:top w:val="outset" w:sz="6" w:space="0" w:color="auto"/>
              <w:left w:val="outset" w:sz="6" w:space="0" w:color="auto"/>
              <w:bottom w:val="outset" w:sz="6" w:space="0" w:color="auto"/>
              <w:right w:val="outset" w:sz="6" w:space="0" w:color="auto"/>
            </w:tcBorders>
            <w:hideMark/>
          </w:tcPr>
          <w:p w14:paraId="2EC4404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methanolic extract</w:t>
            </w:r>
          </w:p>
        </w:tc>
        <w:tc>
          <w:tcPr>
            <w:tcW w:w="2805" w:type="dxa"/>
            <w:tcBorders>
              <w:top w:val="outset" w:sz="6" w:space="0" w:color="auto"/>
              <w:left w:val="outset" w:sz="6" w:space="0" w:color="auto"/>
              <w:bottom w:val="outset" w:sz="6" w:space="0" w:color="auto"/>
              <w:right w:val="outset" w:sz="6" w:space="0" w:color="auto"/>
            </w:tcBorders>
            <w:hideMark/>
          </w:tcPr>
          <w:p w14:paraId="39E2409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procyanidin B1</w:t>
            </w:r>
          </w:p>
        </w:tc>
        <w:tc>
          <w:tcPr>
            <w:tcW w:w="2745" w:type="dxa"/>
            <w:tcBorders>
              <w:top w:val="outset" w:sz="6" w:space="0" w:color="auto"/>
              <w:left w:val="outset" w:sz="6" w:space="0" w:color="auto"/>
              <w:bottom w:val="outset" w:sz="6" w:space="0" w:color="auto"/>
              <w:right w:val="outset" w:sz="6" w:space="0" w:color="auto"/>
            </w:tcBorders>
            <w:hideMark/>
          </w:tcPr>
          <w:p w14:paraId="37D4395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905" w:type="dxa"/>
            <w:tcBorders>
              <w:top w:val="outset" w:sz="6" w:space="0" w:color="auto"/>
              <w:left w:val="outset" w:sz="6" w:space="0" w:color="auto"/>
              <w:bottom w:val="outset" w:sz="6" w:space="0" w:color="auto"/>
              <w:right w:val="outset" w:sz="6" w:space="0" w:color="auto"/>
            </w:tcBorders>
            <w:hideMark/>
          </w:tcPr>
          <w:p w14:paraId="63A9AF8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Pobłocka-Olech &amp; Krauze-Baranowska, 2008</w:t>
            </w:r>
          </w:p>
        </w:tc>
      </w:tr>
      <w:tr w:rsidR="00E56A40" w:rsidRPr="00E56A40" w14:paraId="25B589D7"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1B61331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bark</w:t>
            </w:r>
          </w:p>
        </w:tc>
        <w:tc>
          <w:tcPr>
            <w:tcW w:w="2205" w:type="dxa"/>
            <w:tcBorders>
              <w:top w:val="outset" w:sz="6" w:space="0" w:color="auto"/>
              <w:left w:val="outset" w:sz="6" w:space="0" w:color="auto"/>
              <w:bottom w:val="outset" w:sz="6" w:space="0" w:color="auto"/>
              <w:right w:val="outset" w:sz="6" w:space="0" w:color="auto"/>
            </w:tcBorders>
            <w:hideMark/>
          </w:tcPr>
          <w:p w14:paraId="7AF2494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ethanolic extract</w:t>
            </w:r>
          </w:p>
        </w:tc>
        <w:tc>
          <w:tcPr>
            <w:tcW w:w="2805" w:type="dxa"/>
            <w:tcBorders>
              <w:top w:val="outset" w:sz="6" w:space="0" w:color="auto"/>
              <w:left w:val="outset" w:sz="6" w:space="0" w:color="auto"/>
              <w:bottom w:val="outset" w:sz="6" w:space="0" w:color="auto"/>
              <w:right w:val="outset" w:sz="6" w:space="0" w:color="auto"/>
            </w:tcBorders>
            <w:hideMark/>
          </w:tcPr>
          <w:p w14:paraId="3BF22B0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salicylalcohol derivates, flavonoids, proanthocyanidins</w:t>
            </w:r>
          </w:p>
        </w:tc>
        <w:tc>
          <w:tcPr>
            <w:tcW w:w="2745" w:type="dxa"/>
            <w:tcBorders>
              <w:top w:val="outset" w:sz="6" w:space="0" w:color="auto"/>
              <w:left w:val="outset" w:sz="6" w:space="0" w:color="auto"/>
              <w:bottom w:val="outset" w:sz="6" w:space="0" w:color="auto"/>
              <w:right w:val="outset" w:sz="6" w:space="0" w:color="auto"/>
            </w:tcBorders>
            <w:hideMark/>
          </w:tcPr>
          <w:p w14:paraId="54692CF7"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inhibit the cell growth and promote apoptosis in human colon and lung cancer cell lines</w:t>
            </w:r>
          </w:p>
        </w:tc>
        <w:tc>
          <w:tcPr>
            <w:tcW w:w="1905" w:type="dxa"/>
            <w:tcBorders>
              <w:top w:val="outset" w:sz="6" w:space="0" w:color="auto"/>
              <w:left w:val="outset" w:sz="6" w:space="0" w:color="auto"/>
              <w:bottom w:val="outset" w:sz="6" w:space="0" w:color="auto"/>
              <w:right w:val="outset" w:sz="6" w:space="0" w:color="auto"/>
            </w:tcBorders>
            <w:hideMark/>
          </w:tcPr>
          <w:p w14:paraId="61EEEAE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Hostanska et al. 2007</w:t>
            </w:r>
          </w:p>
        </w:tc>
      </w:tr>
      <w:tr w:rsidR="00E56A40" w:rsidRPr="00E56A40" w14:paraId="5A5DF166"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4075B74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bark</w:t>
            </w:r>
          </w:p>
        </w:tc>
        <w:tc>
          <w:tcPr>
            <w:tcW w:w="2205" w:type="dxa"/>
            <w:tcBorders>
              <w:top w:val="outset" w:sz="6" w:space="0" w:color="auto"/>
              <w:left w:val="outset" w:sz="6" w:space="0" w:color="auto"/>
              <w:bottom w:val="outset" w:sz="6" w:space="0" w:color="auto"/>
              <w:right w:val="outset" w:sz="6" w:space="0" w:color="auto"/>
            </w:tcBorders>
            <w:hideMark/>
          </w:tcPr>
          <w:p w14:paraId="7F03EA4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methanolic extract</w:t>
            </w:r>
          </w:p>
        </w:tc>
        <w:tc>
          <w:tcPr>
            <w:tcW w:w="2805" w:type="dxa"/>
            <w:tcBorders>
              <w:top w:val="outset" w:sz="6" w:space="0" w:color="auto"/>
              <w:left w:val="outset" w:sz="6" w:space="0" w:color="auto"/>
              <w:bottom w:val="outset" w:sz="6" w:space="0" w:color="auto"/>
              <w:right w:val="outset" w:sz="6" w:space="0" w:color="auto"/>
            </w:tcBorders>
            <w:hideMark/>
          </w:tcPr>
          <w:p w14:paraId="5440032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salicylic glycosides</w:t>
            </w:r>
          </w:p>
        </w:tc>
        <w:tc>
          <w:tcPr>
            <w:tcW w:w="2745" w:type="dxa"/>
            <w:tcBorders>
              <w:top w:val="outset" w:sz="6" w:space="0" w:color="auto"/>
              <w:left w:val="outset" w:sz="6" w:space="0" w:color="auto"/>
              <w:bottom w:val="outset" w:sz="6" w:space="0" w:color="auto"/>
              <w:right w:val="outset" w:sz="6" w:space="0" w:color="auto"/>
            </w:tcBorders>
            <w:hideMark/>
          </w:tcPr>
          <w:p w14:paraId="36C4F8B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905" w:type="dxa"/>
            <w:tcBorders>
              <w:top w:val="outset" w:sz="6" w:space="0" w:color="auto"/>
              <w:left w:val="outset" w:sz="6" w:space="0" w:color="auto"/>
              <w:bottom w:val="outset" w:sz="6" w:space="0" w:color="auto"/>
              <w:right w:val="outset" w:sz="6" w:space="0" w:color="auto"/>
            </w:tcBorders>
            <w:hideMark/>
          </w:tcPr>
          <w:p w14:paraId="3D860AE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Sulima et al. 2017</w:t>
            </w:r>
          </w:p>
        </w:tc>
      </w:tr>
      <w:tr w:rsidR="00E56A40" w:rsidRPr="00E56A40" w14:paraId="50EA68B8"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6102C4F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w:t>
            </w:r>
          </w:p>
        </w:tc>
        <w:tc>
          <w:tcPr>
            <w:tcW w:w="2205" w:type="dxa"/>
            <w:tcBorders>
              <w:top w:val="outset" w:sz="6" w:space="0" w:color="auto"/>
              <w:left w:val="outset" w:sz="6" w:space="0" w:color="auto"/>
              <w:bottom w:val="outset" w:sz="6" w:space="0" w:color="auto"/>
              <w:right w:val="outset" w:sz="6" w:space="0" w:color="auto"/>
            </w:tcBorders>
            <w:hideMark/>
          </w:tcPr>
          <w:p w14:paraId="424A718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methanolic extract</w:t>
            </w:r>
          </w:p>
        </w:tc>
        <w:tc>
          <w:tcPr>
            <w:tcW w:w="2805" w:type="dxa"/>
            <w:tcBorders>
              <w:top w:val="outset" w:sz="6" w:space="0" w:color="auto"/>
              <w:left w:val="outset" w:sz="6" w:space="0" w:color="auto"/>
              <w:bottom w:val="outset" w:sz="6" w:space="0" w:color="auto"/>
              <w:right w:val="outset" w:sz="6" w:space="0" w:color="auto"/>
            </w:tcBorders>
            <w:hideMark/>
          </w:tcPr>
          <w:p w14:paraId="3CF1F3F4"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flavonoids, proanthocyanidins, salicylic alcohol derivatives</w:t>
            </w:r>
          </w:p>
        </w:tc>
        <w:tc>
          <w:tcPr>
            <w:tcW w:w="2745" w:type="dxa"/>
            <w:tcBorders>
              <w:top w:val="outset" w:sz="6" w:space="0" w:color="auto"/>
              <w:left w:val="outset" w:sz="6" w:space="0" w:color="auto"/>
              <w:bottom w:val="outset" w:sz="6" w:space="0" w:color="auto"/>
              <w:right w:val="outset" w:sz="6" w:space="0" w:color="auto"/>
            </w:tcBorders>
            <w:hideMark/>
          </w:tcPr>
          <w:p w14:paraId="29289C0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905" w:type="dxa"/>
            <w:tcBorders>
              <w:top w:val="outset" w:sz="6" w:space="0" w:color="auto"/>
              <w:left w:val="outset" w:sz="6" w:space="0" w:color="auto"/>
              <w:bottom w:val="outset" w:sz="6" w:space="0" w:color="auto"/>
              <w:right w:val="outset" w:sz="6" w:space="0" w:color="auto"/>
            </w:tcBorders>
            <w:hideMark/>
          </w:tcPr>
          <w:p w14:paraId="15F7725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Wiesneth et al. 2017</w:t>
            </w:r>
          </w:p>
        </w:tc>
      </w:tr>
      <w:tr w:rsidR="00E56A40" w:rsidRPr="00E56A40" w14:paraId="075C70C1"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4BC0310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bark</w:t>
            </w:r>
          </w:p>
        </w:tc>
        <w:tc>
          <w:tcPr>
            <w:tcW w:w="2205" w:type="dxa"/>
            <w:tcBorders>
              <w:top w:val="outset" w:sz="6" w:space="0" w:color="auto"/>
              <w:left w:val="outset" w:sz="6" w:space="0" w:color="auto"/>
              <w:bottom w:val="outset" w:sz="6" w:space="0" w:color="auto"/>
              <w:right w:val="outset" w:sz="6" w:space="0" w:color="auto"/>
            </w:tcBorders>
            <w:hideMark/>
          </w:tcPr>
          <w:p w14:paraId="2725159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methanolic extract, PBS extract</w:t>
            </w:r>
          </w:p>
        </w:tc>
        <w:tc>
          <w:tcPr>
            <w:tcW w:w="2805" w:type="dxa"/>
            <w:tcBorders>
              <w:top w:val="outset" w:sz="6" w:space="0" w:color="auto"/>
              <w:left w:val="outset" w:sz="6" w:space="0" w:color="auto"/>
              <w:bottom w:val="outset" w:sz="6" w:space="0" w:color="auto"/>
              <w:right w:val="outset" w:sz="6" w:space="0" w:color="auto"/>
            </w:tcBorders>
            <w:hideMark/>
          </w:tcPr>
          <w:p w14:paraId="54B9D8A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745" w:type="dxa"/>
            <w:tcBorders>
              <w:top w:val="outset" w:sz="6" w:space="0" w:color="auto"/>
              <w:left w:val="outset" w:sz="6" w:space="0" w:color="auto"/>
              <w:bottom w:val="outset" w:sz="6" w:space="0" w:color="auto"/>
              <w:right w:val="outset" w:sz="6" w:space="0" w:color="auto"/>
            </w:tcBorders>
            <w:hideMark/>
          </w:tcPr>
          <w:p w14:paraId="78B8A11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antioxidative</w:t>
            </w:r>
          </w:p>
        </w:tc>
        <w:tc>
          <w:tcPr>
            <w:tcW w:w="1905" w:type="dxa"/>
            <w:tcBorders>
              <w:top w:val="outset" w:sz="6" w:space="0" w:color="auto"/>
              <w:left w:val="outset" w:sz="6" w:space="0" w:color="auto"/>
              <w:bottom w:val="outset" w:sz="6" w:space="0" w:color="auto"/>
              <w:right w:val="outset" w:sz="6" w:space="0" w:color="auto"/>
            </w:tcBorders>
            <w:hideMark/>
          </w:tcPr>
          <w:p w14:paraId="5E08817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Gawlik-Dziki et al. 2014</w:t>
            </w:r>
          </w:p>
        </w:tc>
      </w:tr>
    </w:tbl>
    <w:p w14:paraId="005E558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 no data</w:t>
      </w:r>
    </w:p>
    <w:p w14:paraId="3E033B5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1D0732C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p w14:paraId="38348FF4"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Jürgenliemk G, Petereit F, Nahrstedt A. Flavan-3-ols and procyanidins from the bark of </w:t>
      </w:r>
      <w:r w:rsidRPr="00FF4196">
        <w:rPr>
          <w:rFonts w:ascii="Times New Roman" w:eastAsia="Times New Roman" w:hAnsi="Times New Roman" w:cs="Times New Roman"/>
          <w:i/>
          <w:iCs/>
          <w:sz w:val="24"/>
          <w:szCs w:val="24"/>
          <w:lang w:val="en-US" w:eastAsia="pl-PL"/>
        </w:rPr>
        <w:t>Salix purpurea</w:t>
      </w:r>
      <w:r w:rsidRPr="00FF4196">
        <w:rPr>
          <w:rFonts w:ascii="Times New Roman" w:eastAsia="Times New Roman" w:hAnsi="Times New Roman" w:cs="Times New Roman"/>
          <w:sz w:val="24"/>
          <w:szCs w:val="24"/>
          <w:lang w:val="en-US" w:eastAsia="pl-PL"/>
        </w:rPr>
        <w:t xml:space="preserve"> L. Pharmazie. 2007;62(3):231-4.</w:t>
      </w:r>
    </w:p>
    <w:p w14:paraId="5383674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Durak A, Gawlik-Dziki U. The Study of Interactions between Active Compounds of Coffee and Willow (</w:t>
      </w:r>
      <w:r w:rsidRPr="00FF4196">
        <w:rPr>
          <w:rFonts w:ascii="Times New Roman" w:eastAsia="Times New Roman" w:hAnsi="Times New Roman" w:cs="Times New Roman"/>
          <w:i/>
          <w:iCs/>
          <w:sz w:val="24"/>
          <w:szCs w:val="24"/>
          <w:lang w:val="en-US" w:eastAsia="pl-PL"/>
        </w:rPr>
        <w:t>Salix</w:t>
      </w:r>
      <w:r w:rsidRPr="00FF4196">
        <w:rPr>
          <w:rFonts w:ascii="Times New Roman" w:eastAsia="Times New Roman" w:hAnsi="Times New Roman" w:cs="Times New Roman"/>
          <w:sz w:val="24"/>
          <w:szCs w:val="24"/>
          <w:lang w:val="en-US" w:eastAsia="pl-PL"/>
        </w:rPr>
        <w:t xml:space="preserve"> sp.) Bark Water Extract. BioMed Research International. 2014; Article ID 38695: 1:11.</w:t>
      </w:r>
    </w:p>
    <w:p w14:paraId="731E9869"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Durak A, Gawlik-Dziki U, Sugier D. Coffee enriched with willow (Salix purpurea and Salix myrsinifolia) bark preparation – Interactions of antioxidative phytochemicals in a model system. Journal of Functional Foods 2015;18:1106–1116.</w:t>
      </w:r>
    </w:p>
    <w:p w14:paraId="77C9F11F"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Freischmidt A, Jürgenliemk G, Kraus B, Okpanyi SN, Müller J, Kelber O, Weiser D, Heilmann J. Contribution of flavonoids and catechol to the reduction of ICAM-1 expression in endothelial cells by a standardised Willow bark extract. Phytomedicine. 2012;19(3-4):245-52.</w:t>
      </w:r>
    </w:p>
    <w:p w14:paraId="1934319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Kammerer B, Kahlich R, Biegert C, Gleiter CH, Heide L. HPLC-MS/MS Analysis of Willow Bark Extracts Contained in Pharmaceutical Preparations. Phytochem Anal. 2005;16(6):470-8.</w:t>
      </w:r>
    </w:p>
    <w:p w14:paraId="025E5289"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Pobłocka-Olech L, Krauze-Baranowska M. SPE-HPTLC of procyanidins from the barks of different species and clones of Salix. J Pharm Biomed Anal. 2008;48(3):965-8.</w:t>
      </w:r>
    </w:p>
    <w:p w14:paraId="7790F07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lang w:val="en-US" w:eastAsia="pl-PL"/>
        </w:rPr>
        <w:t xml:space="preserve">Hostanska K, Jürgenliemk G, Abel G, Nahrstedt A, Saller R. Willow bark extract (BNO1455) and its fractions suppress growth and induce apoptosis in human colon and lung cancer cells. </w:t>
      </w:r>
      <w:r w:rsidRPr="00E56A40">
        <w:rPr>
          <w:rFonts w:ascii="Times New Roman" w:eastAsia="Times New Roman" w:hAnsi="Times New Roman" w:cs="Times New Roman"/>
          <w:sz w:val="24"/>
          <w:szCs w:val="24"/>
          <w:lang w:eastAsia="pl-PL"/>
        </w:rPr>
        <w:t>Cancer Detect Prev. 2007;31(2):129-39.</w:t>
      </w:r>
    </w:p>
    <w:p w14:paraId="0E66D763"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E56A40">
        <w:rPr>
          <w:rFonts w:ascii="Times New Roman" w:eastAsia="Times New Roman" w:hAnsi="Times New Roman" w:cs="Times New Roman"/>
          <w:sz w:val="24"/>
          <w:szCs w:val="24"/>
          <w:lang w:eastAsia="pl-PL"/>
        </w:rPr>
        <w:t xml:space="preserve">Sulima P, Krauze-Baranowska M, Przyborowski JA. </w:t>
      </w:r>
      <w:r w:rsidRPr="00FF4196">
        <w:rPr>
          <w:rFonts w:ascii="Times New Roman" w:eastAsia="Times New Roman" w:hAnsi="Times New Roman" w:cs="Times New Roman"/>
          <w:sz w:val="24"/>
          <w:szCs w:val="24"/>
          <w:lang w:val="en-US" w:eastAsia="pl-PL"/>
        </w:rPr>
        <w:t>Variations in the chemical composition and content of salicylic glycosides in the bark of Salix purpurea from natural locations and their significance for breeding. Fitoterapia. 2017;118:118-125.</w:t>
      </w:r>
    </w:p>
    <w:p w14:paraId="1A61B1A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Wiesneth S, Aas G, Heilmann J, Jürgenliemk G. Investigation of the flavan-3-ol patterns in willow species during one growing-season. Phytochemistry. 2018;145:26-39.</w:t>
      </w:r>
    </w:p>
    <w:p w14:paraId="30E83DF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lang w:val="en-US" w:eastAsia="pl-PL"/>
        </w:rPr>
        <w:t xml:space="preserve">Gawlik-Dziki U, Sugier D, Dziki D, Sugier P. Bioaccessibility In Vitro of Nutraceuticals from Bark of Selected Salix Species. </w:t>
      </w:r>
      <w:r w:rsidRPr="00E56A40">
        <w:rPr>
          <w:rFonts w:ascii="Times New Roman" w:eastAsia="Times New Roman" w:hAnsi="Times New Roman" w:cs="Times New Roman"/>
          <w:sz w:val="24"/>
          <w:szCs w:val="24"/>
          <w:lang w:eastAsia="pl-PL"/>
        </w:rPr>
        <w:t>The Scientific World Journal. 2014, Article ID 782763, 1-10.</w:t>
      </w:r>
    </w:p>
    <w:p w14:paraId="589DE35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3C27DD7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Salix viminalis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9"/>
        <w:gridCol w:w="1928"/>
        <w:gridCol w:w="2208"/>
        <w:gridCol w:w="2071"/>
        <w:gridCol w:w="1520"/>
      </w:tblGrid>
      <w:tr w:rsidR="00E56A40" w:rsidRPr="00E56A40" w14:paraId="3F264B86"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606916E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Source</w:t>
            </w:r>
          </w:p>
        </w:tc>
        <w:tc>
          <w:tcPr>
            <w:tcW w:w="2205" w:type="dxa"/>
            <w:tcBorders>
              <w:top w:val="outset" w:sz="6" w:space="0" w:color="auto"/>
              <w:left w:val="outset" w:sz="6" w:space="0" w:color="auto"/>
              <w:bottom w:val="outset" w:sz="6" w:space="0" w:color="auto"/>
              <w:right w:val="outset" w:sz="6" w:space="0" w:color="auto"/>
            </w:tcBorders>
            <w:hideMark/>
          </w:tcPr>
          <w:p w14:paraId="3AA02D2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Extraction methods/solvent</w:t>
            </w:r>
          </w:p>
        </w:tc>
        <w:tc>
          <w:tcPr>
            <w:tcW w:w="2805" w:type="dxa"/>
            <w:tcBorders>
              <w:top w:val="outset" w:sz="6" w:space="0" w:color="auto"/>
              <w:left w:val="outset" w:sz="6" w:space="0" w:color="auto"/>
              <w:bottom w:val="outset" w:sz="6" w:space="0" w:color="auto"/>
              <w:right w:val="outset" w:sz="6" w:space="0" w:color="auto"/>
            </w:tcBorders>
            <w:hideMark/>
          </w:tcPr>
          <w:p w14:paraId="2DF1027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Compound</w:t>
            </w:r>
          </w:p>
        </w:tc>
        <w:tc>
          <w:tcPr>
            <w:tcW w:w="2745" w:type="dxa"/>
            <w:tcBorders>
              <w:top w:val="outset" w:sz="6" w:space="0" w:color="auto"/>
              <w:left w:val="outset" w:sz="6" w:space="0" w:color="auto"/>
              <w:bottom w:val="outset" w:sz="6" w:space="0" w:color="auto"/>
              <w:right w:val="outset" w:sz="6" w:space="0" w:color="auto"/>
            </w:tcBorders>
            <w:hideMark/>
          </w:tcPr>
          <w:p w14:paraId="11F86C2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Biological activity</w:t>
            </w:r>
          </w:p>
        </w:tc>
        <w:tc>
          <w:tcPr>
            <w:tcW w:w="1905" w:type="dxa"/>
            <w:tcBorders>
              <w:top w:val="outset" w:sz="6" w:space="0" w:color="auto"/>
              <w:left w:val="outset" w:sz="6" w:space="0" w:color="auto"/>
              <w:bottom w:val="outset" w:sz="6" w:space="0" w:color="auto"/>
              <w:right w:val="outset" w:sz="6" w:space="0" w:color="auto"/>
            </w:tcBorders>
            <w:hideMark/>
          </w:tcPr>
          <w:p w14:paraId="025983E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tc>
      </w:tr>
      <w:tr w:rsidR="00E56A40" w:rsidRPr="00E56A40" w14:paraId="290E29E4"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3B2C314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w:t>
            </w:r>
          </w:p>
        </w:tc>
        <w:tc>
          <w:tcPr>
            <w:tcW w:w="2205" w:type="dxa"/>
            <w:tcBorders>
              <w:top w:val="outset" w:sz="6" w:space="0" w:color="auto"/>
              <w:left w:val="outset" w:sz="6" w:space="0" w:color="auto"/>
              <w:bottom w:val="outset" w:sz="6" w:space="0" w:color="auto"/>
              <w:right w:val="outset" w:sz="6" w:space="0" w:color="auto"/>
            </w:tcBorders>
            <w:hideMark/>
          </w:tcPr>
          <w:p w14:paraId="296AE98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ethanolic extract</w:t>
            </w:r>
          </w:p>
        </w:tc>
        <w:tc>
          <w:tcPr>
            <w:tcW w:w="2805" w:type="dxa"/>
            <w:tcBorders>
              <w:top w:val="outset" w:sz="6" w:space="0" w:color="auto"/>
              <w:left w:val="outset" w:sz="6" w:space="0" w:color="auto"/>
              <w:bottom w:val="outset" w:sz="6" w:space="0" w:color="auto"/>
              <w:right w:val="outset" w:sz="6" w:space="0" w:color="auto"/>
            </w:tcBorders>
            <w:hideMark/>
          </w:tcPr>
          <w:p w14:paraId="058DA22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phenolcarbonic</w:t>
            </w:r>
          </w:p>
          <w:p w14:paraId="2591ADC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acids</w:t>
            </w:r>
          </w:p>
        </w:tc>
        <w:tc>
          <w:tcPr>
            <w:tcW w:w="2745" w:type="dxa"/>
            <w:tcBorders>
              <w:top w:val="outset" w:sz="6" w:space="0" w:color="auto"/>
              <w:left w:val="outset" w:sz="6" w:space="0" w:color="auto"/>
              <w:bottom w:val="outset" w:sz="6" w:space="0" w:color="auto"/>
              <w:right w:val="outset" w:sz="6" w:space="0" w:color="auto"/>
            </w:tcBorders>
            <w:hideMark/>
          </w:tcPr>
          <w:p w14:paraId="60C439F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reduced the negative effects of the antitumor drug; promoted recovery of the bone marrow, peripheral blood, and visceral</w:t>
            </w:r>
          </w:p>
          <w:p w14:paraId="62F11CB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parameters and prevented ulceration</w:t>
            </w:r>
          </w:p>
        </w:tc>
        <w:tc>
          <w:tcPr>
            <w:tcW w:w="1905" w:type="dxa"/>
            <w:tcBorders>
              <w:top w:val="outset" w:sz="6" w:space="0" w:color="auto"/>
              <w:left w:val="outset" w:sz="6" w:space="0" w:color="auto"/>
              <w:bottom w:val="outset" w:sz="6" w:space="0" w:color="auto"/>
              <w:right w:val="outset" w:sz="6" w:space="0" w:color="auto"/>
            </w:tcBorders>
            <w:hideMark/>
          </w:tcPr>
          <w:p w14:paraId="56E84E3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Aksinenko et al. 2015</w:t>
            </w:r>
          </w:p>
        </w:tc>
      </w:tr>
      <w:tr w:rsidR="00E56A40" w:rsidRPr="00E56A40" w14:paraId="0EFD1E0C"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1F69DE5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thermal treatment of wood</w:t>
            </w:r>
          </w:p>
        </w:tc>
        <w:tc>
          <w:tcPr>
            <w:tcW w:w="2205" w:type="dxa"/>
            <w:tcBorders>
              <w:top w:val="outset" w:sz="6" w:space="0" w:color="auto"/>
              <w:left w:val="outset" w:sz="6" w:space="0" w:color="auto"/>
              <w:bottom w:val="outset" w:sz="6" w:space="0" w:color="auto"/>
              <w:right w:val="outset" w:sz="6" w:space="0" w:color="auto"/>
            </w:tcBorders>
            <w:hideMark/>
          </w:tcPr>
          <w:p w14:paraId="3B840A5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Scholze and Meier</w:t>
            </w:r>
          </w:p>
          <w:p w14:paraId="538CCDA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method</w:t>
            </w:r>
          </w:p>
        </w:tc>
        <w:tc>
          <w:tcPr>
            <w:tcW w:w="2805" w:type="dxa"/>
            <w:tcBorders>
              <w:top w:val="outset" w:sz="6" w:space="0" w:color="auto"/>
              <w:left w:val="outset" w:sz="6" w:space="0" w:color="auto"/>
              <w:bottom w:val="outset" w:sz="6" w:space="0" w:color="auto"/>
              <w:right w:val="outset" w:sz="6" w:space="0" w:color="auto"/>
            </w:tcBorders>
            <w:hideMark/>
          </w:tcPr>
          <w:p w14:paraId="5BBA155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phenolic</w:t>
            </w:r>
          </w:p>
        </w:tc>
        <w:tc>
          <w:tcPr>
            <w:tcW w:w="2745" w:type="dxa"/>
            <w:tcBorders>
              <w:top w:val="outset" w:sz="6" w:space="0" w:color="auto"/>
              <w:left w:val="outset" w:sz="6" w:space="0" w:color="auto"/>
              <w:bottom w:val="outset" w:sz="6" w:space="0" w:color="auto"/>
              <w:right w:val="outset" w:sz="6" w:space="0" w:color="auto"/>
            </w:tcBorders>
            <w:hideMark/>
          </w:tcPr>
          <w:p w14:paraId="0CD0D79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antioxidative</w:t>
            </w:r>
          </w:p>
          <w:p w14:paraId="42EB657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c>
        <w:tc>
          <w:tcPr>
            <w:tcW w:w="1905" w:type="dxa"/>
            <w:tcBorders>
              <w:top w:val="outset" w:sz="6" w:space="0" w:color="auto"/>
              <w:left w:val="outset" w:sz="6" w:space="0" w:color="auto"/>
              <w:bottom w:val="outset" w:sz="6" w:space="0" w:color="auto"/>
              <w:right w:val="outset" w:sz="6" w:space="0" w:color="auto"/>
            </w:tcBorders>
            <w:hideMark/>
          </w:tcPr>
          <w:p w14:paraId="5B9F729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Ilnicka et al. 2014</w:t>
            </w:r>
          </w:p>
        </w:tc>
      </w:tr>
    </w:tbl>
    <w:p w14:paraId="1F76757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 no data</w:t>
      </w:r>
    </w:p>
    <w:p w14:paraId="1E86596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231FF30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p w14:paraId="1BBBE329"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E56A40">
        <w:rPr>
          <w:rFonts w:ascii="Times New Roman" w:eastAsia="Times New Roman" w:hAnsi="Times New Roman" w:cs="Times New Roman"/>
          <w:sz w:val="24"/>
          <w:szCs w:val="24"/>
          <w:lang w:eastAsia="pl-PL"/>
        </w:rPr>
        <w:t xml:space="preserve">Ilnicka A, Roszek K, Olejniczak A, Komoszynski M, Lukaszewicz JP. </w:t>
      </w:r>
      <w:r w:rsidRPr="00FF4196">
        <w:rPr>
          <w:rFonts w:ascii="Times New Roman" w:eastAsia="Times New Roman" w:hAnsi="Times New Roman" w:cs="Times New Roman"/>
          <w:sz w:val="24"/>
          <w:szCs w:val="24"/>
          <w:lang w:val="en-US" w:eastAsia="pl-PL"/>
        </w:rPr>
        <w:t>Biologically active constituents from Salix viminalis bio-oil and their protective activity against hydrogen peroxide-induced oxidative stress in Chinese hamster ovary cells. Appl Biochem Biotechnol. 2014;174(6):2153-61.</w:t>
      </w:r>
    </w:p>
    <w:p w14:paraId="1206608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lang w:val="en-US" w:eastAsia="pl-PL"/>
        </w:rPr>
        <w:t xml:space="preserve">Aksinenko SG, Suslov NI, Povet'eva TN, Nesterova YV, Kharina TG, Kravtsova SS. Antitoxic Activity of Extract from Salix Viminalis Leaves under Conditions of 5-Fluorouracil Treatment. </w:t>
      </w:r>
      <w:r w:rsidRPr="00E56A40">
        <w:rPr>
          <w:rFonts w:ascii="Times New Roman" w:eastAsia="Times New Roman" w:hAnsi="Times New Roman" w:cs="Times New Roman"/>
          <w:sz w:val="24"/>
          <w:szCs w:val="24"/>
          <w:lang w:eastAsia="pl-PL"/>
        </w:rPr>
        <w:t>Bull Exp Biol Med. 2015;160(1):49-52.</w:t>
      </w:r>
    </w:p>
    <w:p w14:paraId="19B2039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5D3FBA6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Populus nigra</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9"/>
        <w:gridCol w:w="1943"/>
        <w:gridCol w:w="2551"/>
        <w:gridCol w:w="2054"/>
        <w:gridCol w:w="1459"/>
      </w:tblGrid>
      <w:tr w:rsidR="00E56A40" w:rsidRPr="00E56A40" w14:paraId="7B1B66DF"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70DFBEE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Source</w:t>
            </w:r>
          </w:p>
        </w:tc>
        <w:tc>
          <w:tcPr>
            <w:tcW w:w="2310" w:type="dxa"/>
            <w:tcBorders>
              <w:top w:val="outset" w:sz="6" w:space="0" w:color="auto"/>
              <w:left w:val="outset" w:sz="6" w:space="0" w:color="auto"/>
              <w:bottom w:val="outset" w:sz="6" w:space="0" w:color="auto"/>
              <w:right w:val="outset" w:sz="6" w:space="0" w:color="auto"/>
            </w:tcBorders>
            <w:hideMark/>
          </w:tcPr>
          <w:p w14:paraId="52AAFBC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Extraction methods/solvent</w:t>
            </w:r>
          </w:p>
        </w:tc>
        <w:tc>
          <w:tcPr>
            <w:tcW w:w="2910" w:type="dxa"/>
            <w:tcBorders>
              <w:top w:val="outset" w:sz="6" w:space="0" w:color="auto"/>
              <w:left w:val="outset" w:sz="6" w:space="0" w:color="auto"/>
              <w:bottom w:val="outset" w:sz="6" w:space="0" w:color="auto"/>
              <w:right w:val="outset" w:sz="6" w:space="0" w:color="auto"/>
            </w:tcBorders>
            <w:hideMark/>
          </w:tcPr>
          <w:p w14:paraId="04890D8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Compound</w:t>
            </w:r>
          </w:p>
        </w:tc>
        <w:tc>
          <w:tcPr>
            <w:tcW w:w="2685" w:type="dxa"/>
            <w:tcBorders>
              <w:top w:val="outset" w:sz="6" w:space="0" w:color="auto"/>
              <w:left w:val="outset" w:sz="6" w:space="0" w:color="auto"/>
              <w:bottom w:val="outset" w:sz="6" w:space="0" w:color="auto"/>
              <w:right w:val="outset" w:sz="6" w:space="0" w:color="auto"/>
            </w:tcBorders>
            <w:hideMark/>
          </w:tcPr>
          <w:p w14:paraId="18D8DBE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Biological activity</w:t>
            </w:r>
          </w:p>
        </w:tc>
        <w:tc>
          <w:tcPr>
            <w:tcW w:w="1860" w:type="dxa"/>
            <w:tcBorders>
              <w:top w:val="outset" w:sz="6" w:space="0" w:color="auto"/>
              <w:left w:val="outset" w:sz="6" w:space="0" w:color="auto"/>
              <w:bottom w:val="outset" w:sz="6" w:space="0" w:color="auto"/>
              <w:right w:val="outset" w:sz="6" w:space="0" w:color="auto"/>
            </w:tcBorders>
            <w:hideMark/>
          </w:tcPr>
          <w:p w14:paraId="5278B09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tc>
      </w:tr>
      <w:tr w:rsidR="00E56A40" w:rsidRPr="00E56A40" w14:paraId="4029A31F"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654666E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whole tree</w:t>
            </w:r>
          </w:p>
        </w:tc>
        <w:tc>
          <w:tcPr>
            <w:tcW w:w="2310" w:type="dxa"/>
            <w:tcBorders>
              <w:top w:val="outset" w:sz="6" w:space="0" w:color="auto"/>
              <w:left w:val="outset" w:sz="6" w:space="0" w:color="auto"/>
              <w:bottom w:val="outset" w:sz="6" w:space="0" w:color="auto"/>
              <w:right w:val="outset" w:sz="6" w:space="0" w:color="auto"/>
            </w:tcBorders>
            <w:hideMark/>
          </w:tcPr>
          <w:p w14:paraId="58E7A44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ethanolic extract</w:t>
            </w:r>
          </w:p>
        </w:tc>
        <w:tc>
          <w:tcPr>
            <w:tcW w:w="2910" w:type="dxa"/>
            <w:tcBorders>
              <w:top w:val="outset" w:sz="6" w:space="0" w:color="auto"/>
              <w:left w:val="outset" w:sz="6" w:space="0" w:color="auto"/>
              <w:bottom w:val="outset" w:sz="6" w:space="0" w:color="auto"/>
              <w:right w:val="outset" w:sz="6" w:space="0" w:color="auto"/>
            </w:tcBorders>
            <w:hideMark/>
          </w:tcPr>
          <w:p w14:paraId="4996469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pinobanksin (I, 3,5,7-trihydroxyflavanone), 3,7-dimethylquercetin (II, 3',4',5-trihydroxy-3,7-dimethoxyflavone), pinocembrin (III, 5,7-dihydroxyflavanone)</w:t>
            </w:r>
          </w:p>
        </w:tc>
        <w:tc>
          <w:tcPr>
            <w:tcW w:w="2685" w:type="dxa"/>
            <w:tcBorders>
              <w:top w:val="outset" w:sz="6" w:space="0" w:color="auto"/>
              <w:left w:val="outset" w:sz="6" w:space="0" w:color="auto"/>
              <w:bottom w:val="outset" w:sz="6" w:space="0" w:color="auto"/>
              <w:right w:val="outset" w:sz="6" w:space="0" w:color="auto"/>
            </w:tcBorders>
            <w:hideMark/>
          </w:tcPr>
          <w:p w14:paraId="251F8A18"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inhibitors of delta 4-3-ketosteroid (5 alpha) reductase</w:t>
            </w:r>
          </w:p>
        </w:tc>
        <w:tc>
          <w:tcPr>
            <w:tcW w:w="1860" w:type="dxa"/>
            <w:tcBorders>
              <w:top w:val="outset" w:sz="6" w:space="0" w:color="auto"/>
              <w:left w:val="outset" w:sz="6" w:space="0" w:color="auto"/>
              <w:bottom w:val="outset" w:sz="6" w:space="0" w:color="auto"/>
              <w:right w:val="outset" w:sz="6" w:space="0" w:color="auto"/>
            </w:tcBorders>
            <w:hideMark/>
          </w:tcPr>
          <w:p w14:paraId="46016FC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Komoda 1989</w:t>
            </w:r>
          </w:p>
        </w:tc>
      </w:tr>
      <w:tr w:rsidR="00E56A40" w:rsidRPr="00E56A40" w14:paraId="4C5BB4C3"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1863ABD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w:t>
            </w:r>
          </w:p>
        </w:tc>
        <w:tc>
          <w:tcPr>
            <w:tcW w:w="2310" w:type="dxa"/>
            <w:tcBorders>
              <w:top w:val="outset" w:sz="6" w:space="0" w:color="auto"/>
              <w:left w:val="outset" w:sz="6" w:space="0" w:color="auto"/>
              <w:bottom w:val="outset" w:sz="6" w:space="0" w:color="auto"/>
              <w:right w:val="outset" w:sz="6" w:space="0" w:color="auto"/>
            </w:tcBorders>
            <w:hideMark/>
          </w:tcPr>
          <w:p w14:paraId="42C406D6"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ether fraction of water-soluble extract</w:t>
            </w:r>
          </w:p>
        </w:tc>
        <w:tc>
          <w:tcPr>
            <w:tcW w:w="2910" w:type="dxa"/>
            <w:tcBorders>
              <w:top w:val="outset" w:sz="6" w:space="0" w:color="auto"/>
              <w:left w:val="outset" w:sz="6" w:space="0" w:color="auto"/>
              <w:bottom w:val="outset" w:sz="6" w:space="0" w:color="auto"/>
              <w:right w:val="outset" w:sz="6" w:space="0" w:color="auto"/>
            </w:tcBorders>
            <w:hideMark/>
          </w:tcPr>
          <w:p w14:paraId="75470E44"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cinnamic and benzoic acids derivatives</w:t>
            </w:r>
          </w:p>
        </w:tc>
        <w:tc>
          <w:tcPr>
            <w:tcW w:w="2685" w:type="dxa"/>
            <w:tcBorders>
              <w:top w:val="outset" w:sz="6" w:space="0" w:color="auto"/>
              <w:left w:val="outset" w:sz="6" w:space="0" w:color="auto"/>
              <w:bottom w:val="outset" w:sz="6" w:space="0" w:color="auto"/>
              <w:right w:val="outset" w:sz="6" w:space="0" w:color="auto"/>
            </w:tcBorders>
            <w:hideMark/>
          </w:tcPr>
          <w:p w14:paraId="41FB2E5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increase of angiogenic activity</w:t>
            </w:r>
          </w:p>
        </w:tc>
        <w:tc>
          <w:tcPr>
            <w:tcW w:w="1860" w:type="dxa"/>
            <w:tcBorders>
              <w:top w:val="outset" w:sz="6" w:space="0" w:color="auto"/>
              <w:left w:val="outset" w:sz="6" w:space="0" w:color="auto"/>
              <w:bottom w:val="outset" w:sz="6" w:space="0" w:color="auto"/>
              <w:right w:val="outset" w:sz="6" w:space="0" w:color="auto"/>
            </w:tcBorders>
            <w:hideMark/>
          </w:tcPr>
          <w:p w14:paraId="5C2D2E7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Glinkowska et al. 1997</w:t>
            </w:r>
          </w:p>
        </w:tc>
      </w:tr>
      <w:tr w:rsidR="00E56A40" w:rsidRPr="00E56A40" w14:paraId="43975B91"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7532858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buds</w:t>
            </w:r>
          </w:p>
        </w:tc>
        <w:tc>
          <w:tcPr>
            <w:tcW w:w="2310" w:type="dxa"/>
            <w:tcBorders>
              <w:top w:val="outset" w:sz="6" w:space="0" w:color="auto"/>
              <w:left w:val="outset" w:sz="6" w:space="0" w:color="auto"/>
              <w:bottom w:val="outset" w:sz="6" w:space="0" w:color="auto"/>
              <w:right w:val="outset" w:sz="6" w:space="0" w:color="auto"/>
            </w:tcBorders>
            <w:hideMark/>
          </w:tcPr>
          <w:p w14:paraId="2E38E947"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methylene chloride-</w:t>
            </w:r>
            <w:r w:rsidRPr="00FF4196">
              <w:rPr>
                <w:rFonts w:ascii="Times New Roman" w:eastAsia="Times New Roman" w:hAnsi="Times New Roman" w:cs="Times New Roman"/>
                <w:sz w:val="24"/>
                <w:szCs w:val="24"/>
                <w:lang w:val="en-US" w:eastAsia="pl-PL"/>
              </w:rPr>
              <w:lastRenderedPageBreak/>
              <w:t>methanolic and ethanolic extracts</w:t>
            </w:r>
          </w:p>
        </w:tc>
        <w:tc>
          <w:tcPr>
            <w:tcW w:w="2910" w:type="dxa"/>
            <w:tcBorders>
              <w:top w:val="outset" w:sz="6" w:space="0" w:color="auto"/>
              <w:left w:val="outset" w:sz="6" w:space="0" w:color="auto"/>
              <w:bottom w:val="outset" w:sz="6" w:space="0" w:color="auto"/>
              <w:right w:val="outset" w:sz="6" w:space="0" w:color="auto"/>
            </w:tcBorders>
            <w:hideMark/>
          </w:tcPr>
          <w:p w14:paraId="585A17D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polyphenols</w:t>
            </w:r>
          </w:p>
        </w:tc>
        <w:tc>
          <w:tcPr>
            <w:tcW w:w="2685" w:type="dxa"/>
            <w:tcBorders>
              <w:top w:val="outset" w:sz="6" w:space="0" w:color="auto"/>
              <w:left w:val="outset" w:sz="6" w:space="0" w:color="auto"/>
              <w:bottom w:val="outset" w:sz="6" w:space="0" w:color="auto"/>
              <w:right w:val="outset" w:sz="6" w:space="0" w:color="auto"/>
            </w:tcBorders>
            <w:hideMark/>
          </w:tcPr>
          <w:p w14:paraId="1351852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Inhibitors of xanthine oxidase</w:t>
            </w:r>
          </w:p>
        </w:tc>
        <w:tc>
          <w:tcPr>
            <w:tcW w:w="1860" w:type="dxa"/>
            <w:tcBorders>
              <w:top w:val="outset" w:sz="6" w:space="0" w:color="auto"/>
              <w:left w:val="outset" w:sz="6" w:space="0" w:color="auto"/>
              <w:bottom w:val="outset" w:sz="6" w:space="0" w:color="auto"/>
              <w:right w:val="outset" w:sz="6" w:space="0" w:color="auto"/>
            </w:tcBorders>
            <w:hideMark/>
          </w:tcPr>
          <w:p w14:paraId="396DC7D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Havlik et al. 2010</w:t>
            </w:r>
          </w:p>
        </w:tc>
      </w:tr>
      <w:tr w:rsidR="00E56A40" w:rsidRPr="00E56A40" w14:paraId="33846965"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20A09DD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buds</w:t>
            </w:r>
          </w:p>
        </w:tc>
        <w:tc>
          <w:tcPr>
            <w:tcW w:w="2310" w:type="dxa"/>
            <w:tcBorders>
              <w:top w:val="outset" w:sz="6" w:space="0" w:color="auto"/>
              <w:left w:val="outset" w:sz="6" w:space="0" w:color="auto"/>
              <w:bottom w:val="outset" w:sz="6" w:space="0" w:color="auto"/>
              <w:right w:val="outset" w:sz="6" w:space="0" w:color="auto"/>
            </w:tcBorders>
            <w:hideMark/>
          </w:tcPr>
          <w:p w14:paraId="4CD35A7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water extract</w:t>
            </w:r>
          </w:p>
        </w:tc>
        <w:tc>
          <w:tcPr>
            <w:tcW w:w="2910" w:type="dxa"/>
            <w:tcBorders>
              <w:top w:val="outset" w:sz="6" w:space="0" w:color="auto"/>
              <w:left w:val="outset" w:sz="6" w:space="0" w:color="auto"/>
              <w:bottom w:val="outset" w:sz="6" w:space="0" w:color="auto"/>
              <w:right w:val="outset" w:sz="6" w:space="0" w:color="auto"/>
            </w:tcBorders>
            <w:hideMark/>
          </w:tcPr>
          <w:p w14:paraId="6341F3D2"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phenolic acids and flavonoid aglycons</w:t>
            </w:r>
          </w:p>
        </w:tc>
        <w:tc>
          <w:tcPr>
            <w:tcW w:w="2685" w:type="dxa"/>
            <w:tcBorders>
              <w:top w:val="outset" w:sz="6" w:space="0" w:color="auto"/>
              <w:left w:val="outset" w:sz="6" w:space="0" w:color="auto"/>
              <w:bottom w:val="outset" w:sz="6" w:space="0" w:color="auto"/>
              <w:right w:val="outset" w:sz="6" w:space="0" w:color="auto"/>
            </w:tcBorders>
            <w:hideMark/>
          </w:tcPr>
          <w:p w14:paraId="7433BDC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antioxidant</w:t>
            </w:r>
          </w:p>
        </w:tc>
        <w:tc>
          <w:tcPr>
            <w:tcW w:w="1860" w:type="dxa"/>
            <w:tcBorders>
              <w:top w:val="outset" w:sz="6" w:space="0" w:color="auto"/>
              <w:left w:val="outset" w:sz="6" w:space="0" w:color="auto"/>
              <w:bottom w:val="outset" w:sz="6" w:space="0" w:color="auto"/>
              <w:right w:val="outset" w:sz="6" w:space="0" w:color="auto"/>
            </w:tcBorders>
            <w:hideMark/>
          </w:tcPr>
          <w:p w14:paraId="0003F96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Dudonné et al. 2011</w:t>
            </w:r>
          </w:p>
        </w:tc>
      </w:tr>
      <w:tr w:rsidR="00E56A40" w:rsidRPr="00E56A40" w14:paraId="4F53971C"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79CC144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twigs</w:t>
            </w:r>
          </w:p>
        </w:tc>
        <w:tc>
          <w:tcPr>
            <w:tcW w:w="2310" w:type="dxa"/>
            <w:tcBorders>
              <w:top w:val="outset" w:sz="6" w:space="0" w:color="auto"/>
              <w:left w:val="outset" w:sz="6" w:space="0" w:color="auto"/>
              <w:bottom w:val="outset" w:sz="6" w:space="0" w:color="auto"/>
              <w:right w:val="outset" w:sz="6" w:space="0" w:color="auto"/>
            </w:tcBorders>
            <w:hideMark/>
          </w:tcPr>
          <w:p w14:paraId="253274C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ethyl acetate extract</w:t>
            </w:r>
          </w:p>
        </w:tc>
        <w:tc>
          <w:tcPr>
            <w:tcW w:w="2910" w:type="dxa"/>
            <w:tcBorders>
              <w:top w:val="outset" w:sz="6" w:space="0" w:color="auto"/>
              <w:left w:val="outset" w:sz="6" w:space="0" w:color="auto"/>
              <w:bottom w:val="outset" w:sz="6" w:space="0" w:color="auto"/>
              <w:right w:val="outset" w:sz="6" w:space="0" w:color="auto"/>
            </w:tcBorders>
            <w:hideMark/>
          </w:tcPr>
          <w:p w14:paraId="1BB76A3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5-hydroxy-7-methoxy-flavone, 5,7-dihydoxy-flavone and</w:t>
            </w:r>
          </w:p>
          <w:p w14:paraId="6671702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5,7-dihydroxy-flavonol</w:t>
            </w:r>
          </w:p>
        </w:tc>
        <w:tc>
          <w:tcPr>
            <w:tcW w:w="2685" w:type="dxa"/>
            <w:tcBorders>
              <w:top w:val="outset" w:sz="6" w:space="0" w:color="auto"/>
              <w:left w:val="outset" w:sz="6" w:space="0" w:color="auto"/>
              <w:bottom w:val="outset" w:sz="6" w:space="0" w:color="auto"/>
              <w:right w:val="outset" w:sz="6" w:space="0" w:color="auto"/>
            </w:tcBorders>
            <w:hideMark/>
          </w:tcPr>
          <w:p w14:paraId="28E780C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antifungal, antibacterial</w:t>
            </w:r>
          </w:p>
        </w:tc>
        <w:tc>
          <w:tcPr>
            <w:tcW w:w="1860" w:type="dxa"/>
            <w:tcBorders>
              <w:top w:val="outset" w:sz="6" w:space="0" w:color="auto"/>
              <w:left w:val="outset" w:sz="6" w:space="0" w:color="auto"/>
              <w:bottom w:val="outset" w:sz="6" w:space="0" w:color="auto"/>
              <w:right w:val="outset" w:sz="6" w:space="0" w:color="auto"/>
            </w:tcBorders>
            <w:hideMark/>
          </w:tcPr>
          <w:p w14:paraId="5443FD2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Zhong et al. 2012</w:t>
            </w:r>
          </w:p>
        </w:tc>
      </w:tr>
      <w:tr w:rsidR="00E56A40" w:rsidRPr="00E56A40" w14:paraId="78C1C368"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54D8F41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buds</w:t>
            </w:r>
          </w:p>
        </w:tc>
        <w:tc>
          <w:tcPr>
            <w:tcW w:w="2310" w:type="dxa"/>
            <w:tcBorders>
              <w:top w:val="outset" w:sz="6" w:space="0" w:color="auto"/>
              <w:left w:val="outset" w:sz="6" w:space="0" w:color="auto"/>
              <w:bottom w:val="outset" w:sz="6" w:space="0" w:color="auto"/>
              <w:right w:val="outset" w:sz="6" w:space="0" w:color="auto"/>
            </w:tcBorders>
            <w:hideMark/>
          </w:tcPr>
          <w:p w14:paraId="221A392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ethanolic extract</w:t>
            </w:r>
          </w:p>
        </w:tc>
        <w:tc>
          <w:tcPr>
            <w:tcW w:w="2910" w:type="dxa"/>
            <w:tcBorders>
              <w:top w:val="outset" w:sz="6" w:space="0" w:color="auto"/>
              <w:left w:val="outset" w:sz="6" w:space="0" w:color="auto"/>
              <w:bottom w:val="outset" w:sz="6" w:space="0" w:color="auto"/>
              <w:right w:val="outset" w:sz="6" w:space="0" w:color="auto"/>
            </w:tcBorders>
            <w:hideMark/>
          </w:tcPr>
          <w:p w14:paraId="630E881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685" w:type="dxa"/>
            <w:tcBorders>
              <w:top w:val="outset" w:sz="6" w:space="0" w:color="auto"/>
              <w:left w:val="outset" w:sz="6" w:space="0" w:color="auto"/>
              <w:bottom w:val="outset" w:sz="6" w:space="0" w:color="auto"/>
              <w:right w:val="outset" w:sz="6" w:space="0" w:color="auto"/>
            </w:tcBorders>
            <w:hideMark/>
          </w:tcPr>
          <w:p w14:paraId="3F87EA25"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antioxidant, anti-inflammatory, hepatoprotective and vasorelaxant</w:t>
            </w:r>
          </w:p>
        </w:tc>
        <w:tc>
          <w:tcPr>
            <w:tcW w:w="1860" w:type="dxa"/>
            <w:tcBorders>
              <w:top w:val="outset" w:sz="6" w:space="0" w:color="auto"/>
              <w:left w:val="outset" w:sz="6" w:space="0" w:color="auto"/>
              <w:bottom w:val="outset" w:sz="6" w:space="0" w:color="auto"/>
              <w:right w:val="outset" w:sz="6" w:space="0" w:color="auto"/>
            </w:tcBorders>
            <w:hideMark/>
          </w:tcPr>
          <w:p w14:paraId="5C2E56B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Debbache-Benaida et al. 2013</w:t>
            </w:r>
          </w:p>
        </w:tc>
      </w:tr>
      <w:tr w:rsidR="00E56A40" w:rsidRPr="00E56A40" w14:paraId="1B15964F"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3C72629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wood</w:t>
            </w:r>
          </w:p>
        </w:tc>
        <w:tc>
          <w:tcPr>
            <w:tcW w:w="2310" w:type="dxa"/>
            <w:tcBorders>
              <w:top w:val="outset" w:sz="6" w:space="0" w:color="auto"/>
              <w:left w:val="outset" w:sz="6" w:space="0" w:color="auto"/>
              <w:bottom w:val="outset" w:sz="6" w:space="0" w:color="auto"/>
              <w:right w:val="outset" w:sz="6" w:space="0" w:color="auto"/>
            </w:tcBorders>
            <w:hideMark/>
          </w:tcPr>
          <w:p w14:paraId="0B3C4333"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ethanol/methanol extract, petroleum ether/acetic ether extract, benzene/alcohol extract</w:t>
            </w:r>
          </w:p>
        </w:tc>
        <w:tc>
          <w:tcPr>
            <w:tcW w:w="2910" w:type="dxa"/>
            <w:tcBorders>
              <w:top w:val="outset" w:sz="6" w:space="0" w:color="auto"/>
              <w:left w:val="outset" w:sz="6" w:space="0" w:color="auto"/>
              <w:bottom w:val="outset" w:sz="6" w:space="0" w:color="auto"/>
              <w:right w:val="outset" w:sz="6" w:space="0" w:color="auto"/>
            </w:tcBorders>
            <w:hideMark/>
          </w:tcPr>
          <w:p w14:paraId="21EAABEF"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hexanedioic acid, bis(2-ethylhexyl) ester, phthalic acid derivatives, squalene, 3,3,7,11- tetramethyltricyclo [5.4.0.0(4,11)]undecan-1-ol</w:t>
            </w:r>
          </w:p>
        </w:tc>
        <w:tc>
          <w:tcPr>
            <w:tcW w:w="2685" w:type="dxa"/>
            <w:tcBorders>
              <w:top w:val="outset" w:sz="6" w:space="0" w:color="auto"/>
              <w:left w:val="outset" w:sz="6" w:space="0" w:color="auto"/>
              <w:bottom w:val="outset" w:sz="6" w:space="0" w:color="auto"/>
              <w:right w:val="outset" w:sz="6" w:space="0" w:color="auto"/>
            </w:tcBorders>
            <w:hideMark/>
          </w:tcPr>
          <w:p w14:paraId="42D2B05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860" w:type="dxa"/>
            <w:tcBorders>
              <w:top w:val="outset" w:sz="6" w:space="0" w:color="auto"/>
              <w:left w:val="outset" w:sz="6" w:space="0" w:color="auto"/>
              <w:bottom w:val="outset" w:sz="6" w:space="0" w:color="auto"/>
              <w:right w:val="outset" w:sz="6" w:space="0" w:color="auto"/>
            </w:tcBorders>
            <w:hideMark/>
          </w:tcPr>
          <w:p w14:paraId="27C3BC2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 et al. 2014</w:t>
            </w:r>
          </w:p>
        </w:tc>
      </w:tr>
      <w:tr w:rsidR="00E56A40" w:rsidRPr="00E56A40" w14:paraId="6261C3FE"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2634176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buds</w:t>
            </w:r>
          </w:p>
        </w:tc>
        <w:tc>
          <w:tcPr>
            <w:tcW w:w="2310" w:type="dxa"/>
            <w:tcBorders>
              <w:top w:val="outset" w:sz="6" w:space="0" w:color="auto"/>
              <w:left w:val="outset" w:sz="6" w:space="0" w:color="auto"/>
              <w:bottom w:val="outset" w:sz="6" w:space="0" w:color="auto"/>
              <w:right w:val="outset" w:sz="6" w:space="0" w:color="auto"/>
            </w:tcBorders>
            <w:hideMark/>
          </w:tcPr>
          <w:p w14:paraId="3771FDC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ethanolic extract</w:t>
            </w:r>
          </w:p>
        </w:tc>
        <w:tc>
          <w:tcPr>
            <w:tcW w:w="2910" w:type="dxa"/>
            <w:tcBorders>
              <w:top w:val="outset" w:sz="6" w:space="0" w:color="auto"/>
              <w:left w:val="outset" w:sz="6" w:space="0" w:color="auto"/>
              <w:bottom w:val="outset" w:sz="6" w:space="0" w:color="auto"/>
              <w:right w:val="outset" w:sz="6" w:space="0" w:color="auto"/>
            </w:tcBorders>
            <w:hideMark/>
          </w:tcPr>
          <w:p w14:paraId="2B21290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polyphenols, flavones</w:t>
            </w:r>
          </w:p>
        </w:tc>
        <w:tc>
          <w:tcPr>
            <w:tcW w:w="2685" w:type="dxa"/>
            <w:tcBorders>
              <w:top w:val="outset" w:sz="6" w:space="0" w:color="auto"/>
              <w:left w:val="outset" w:sz="6" w:space="0" w:color="auto"/>
              <w:bottom w:val="outset" w:sz="6" w:space="0" w:color="auto"/>
              <w:right w:val="outset" w:sz="6" w:space="0" w:color="auto"/>
            </w:tcBorders>
            <w:hideMark/>
          </w:tcPr>
          <w:p w14:paraId="322F25A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antioxidant</w:t>
            </w:r>
          </w:p>
          <w:p w14:paraId="55C3DE5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antibacterial</w:t>
            </w:r>
          </w:p>
        </w:tc>
        <w:tc>
          <w:tcPr>
            <w:tcW w:w="1860" w:type="dxa"/>
            <w:tcBorders>
              <w:top w:val="outset" w:sz="6" w:space="0" w:color="auto"/>
              <w:left w:val="outset" w:sz="6" w:space="0" w:color="auto"/>
              <w:bottom w:val="outset" w:sz="6" w:space="0" w:color="auto"/>
              <w:right w:val="outset" w:sz="6" w:space="0" w:color="auto"/>
            </w:tcBorders>
            <w:hideMark/>
          </w:tcPr>
          <w:p w14:paraId="5635A0A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Pasca et al. 2017</w:t>
            </w:r>
          </w:p>
        </w:tc>
      </w:tr>
      <w:tr w:rsidR="00E56A40" w:rsidRPr="00E56A40" w14:paraId="400071CF"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5BA8DB7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buds</w:t>
            </w:r>
          </w:p>
        </w:tc>
        <w:tc>
          <w:tcPr>
            <w:tcW w:w="2310" w:type="dxa"/>
            <w:tcBorders>
              <w:top w:val="outset" w:sz="6" w:space="0" w:color="auto"/>
              <w:left w:val="outset" w:sz="6" w:space="0" w:color="auto"/>
              <w:bottom w:val="outset" w:sz="6" w:space="0" w:color="auto"/>
              <w:right w:val="outset" w:sz="6" w:space="0" w:color="auto"/>
            </w:tcBorders>
            <w:hideMark/>
          </w:tcPr>
          <w:p w14:paraId="77F919A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supercritical CO</w:t>
            </w:r>
            <w:r w:rsidRPr="00E56A40">
              <w:rPr>
                <w:rFonts w:ascii="Times New Roman" w:eastAsia="Times New Roman" w:hAnsi="Times New Roman" w:cs="Times New Roman"/>
                <w:sz w:val="24"/>
                <w:szCs w:val="24"/>
                <w:vertAlign w:val="subscript"/>
                <w:lang w:eastAsia="pl-PL"/>
              </w:rPr>
              <w:t>2</w:t>
            </w:r>
          </w:p>
        </w:tc>
        <w:tc>
          <w:tcPr>
            <w:tcW w:w="2910" w:type="dxa"/>
            <w:tcBorders>
              <w:top w:val="outset" w:sz="6" w:space="0" w:color="auto"/>
              <w:left w:val="outset" w:sz="6" w:space="0" w:color="auto"/>
              <w:bottom w:val="outset" w:sz="6" w:space="0" w:color="auto"/>
              <w:right w:val="outset" w:sz="6" w:space="0" w:color="auto"/>
            </w:tcBorders>
            <w:hideMark/>
          </w:tcPr>
          <w:p w14:paraId="2A5B2F2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phenolics</w:t>
            </w:r>
          </w:p>
        </w:tc>
        <w:tc>
          <w:tcPr>
            <w:tcW w:w="2685" w:type="dxa"/>
            <w:tcBorders>
              <w:top w:val="outset" w:sz="6" w:space="0" w:color="auto"/>
              <w:left w:val="outset" w:sz="6" w:space="0" w:color="auto"/>
              <w:bottom w:val="outset" w:sz="6" w:space="0" w:color="auto"/>
              <w:right w:val="outset" w:sz="6" w:space="0" w:color="auto"/>
            </w:tcBorders>
            <w:hideMark/>
          </w:tcPr>
          <w:p w14:paraId="072CF09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antioxidant</w:t>
            </w:r>
          </w:p>
        </w:tc>
        <w:tc>
          <w:tcPr>
            <w:tcW w:w="1860" w:type="dxa"/>
            <w:tcBorders>
              <w:top w:val="outset" w:sz="6" w:space="0" w:color="auto"/>
              <w:left w:val="outset" w:sz="6" w:space="0" w:color="auto"/>
              <w:bottom w:val="outset" w:sz="6" w:space="0" w:color="auto"/>
              <w:right w:val="outset" w:sz="6" w:space="0" w:color="auto"/>
            </w:tcBorders>
            <w:hideMark/>
          </w:tcPr>
          <w:p w14:paraId="6217A42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Kuś et al. 2018</w:t>
            </w:r>
          </w:p>
        </w:tc>
      </w:tr>
      <w:tr w:rsidR="00E56A40" w:rsidRPr="00E56A40" w14:paraId="599D1939"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6C1AFAA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buds</w:t>
            </w:r>
          </w:p>
        </w:tc>
        <w:tc>
          <w:tcPr>
            <w:tcW w:w="2310" w:type="dxa"/>
            <w:tcBorders>
              <w:top w:val="outset" w:sz="6" w:space="0" w:color="auto"/>
              <w:left w:val="outset" w:sz="6" w:space="0" w:color="auto"/>
              <w:bottom w:val="outset" w:sz="6" w:space="0" w:color="auto"/>
              <w:right w:val="outset" w:sz="6" w:space="0" w:color="auto"/>
            </w:tcBorders>
            <w:hideMark/>
          </w:tcPr>
          <w:p w14:paraId="620E941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acetone extract</w:t>
            </w:r>
          </w:p>
        </w:tc>
        <w:tc>
          <w:tcPr>
            <w:tcW w:w="2910" w:type="dxa"/>
            <w:tcBorders>
              <w:top w:val="outset" w:sz="6" w:space="0" w:color="auto"/>
              <w:left w:val="outset" w:sz="6" w:space="0" w:color="auto"/>
              <w:bottom w:val="outset" w:sz="6" w:space="0" w:color="auto"/>
              <w:right w:val="outset" w:sz="6" w:space="0" w:color="auto"/>
            </w:tcBorders>
            <w:hideMark/>
          </w:tcPr>
          <w:p w14:paraId="6453EB7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phenolic glycosides (salicin, populin), volatile oil, tannins, resins, gallic acid, saponins, flavonoids (chrysin and tectochrysin)</w:t>
            </w:r>
          </w:p>
        </w:tc>
        <w:tc>
          <w:tcPr>
            <w:tcW w:w="2685" w:type="dxa"/>
            <w:tcBorders>
              <w:top w:val="outset" w:sz="6" w:space="0" w:color="auto"/>
              <w:left w:val="outset" w:sz="6" w:space="0" w:color="auto"/>
              <w:bottom w:val="outset" w:sz="6" w:space="0" w:color="auto"/>
              <w:right w:val="outset" w:sz="6" w:space="0" w:color="auto"/>
            </w:tcBorders>
            <w:hideMark/>
          </w:tcPr>
          <w:p w14:paraId="027D9F36"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antioxidant and anti-inflammatory potential</w:t>
            </w:r>
          </w:p>
        </w:tc>
        <w:tc>
          <w:tcPr>
            <w:tcW w:w="1860" w:type="dxa"/>
            <w:tcBorders>
              <w:top w:val="outset" w:sz="6" w:space="0" w:color="auto"/>
              <w:left w:val="outset" w:sz="6" w:space="0" w:color="auto"/>
              <w:bottom w:val="outset" w:sz="6" w:space="0" w:color="auto"/>
              <w:right w:val="outset" w:sz="6" w:space="0" w:color="auto"/>
            </w:tcBorders>
            <w:hideMark/>
          </w:tcPr>
          <w:p w14:paraId="28517FB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Radulea et al. 2018</w:t>
            </w:r>
          </w:p>
        </w:tc>
      </w:tr>
      <w:tr w:rsidR="00E56A40" w:rsidRPr="00E56A40" w14:paraId="41A7189E"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7ADD81B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leaf-buds</w:t>
            </w:r>
          </w:p>
        </w:tc>
        <w:tc>
          <w:tcPr>
            <w:tcW w:w="2310" w:type="dxa"/>
            <w:tcBorders>
              <w:top w:val="outset" w:sz="6" w:space="0" w:color="auto"/>
              <w:left w:val="outset" w:sz="6" w:space="0" w:color="auto"/>
              <w:bottom w:val="outset" w:sz="6" w:space="0" w:color="auto"/>
              <w:right w:val="outset" w:sz="6" w:space="0" w:color="auto"/>
            </w:tcBorders>
            <w:hideMark/>
          </w:tcPr>
          <w:p w14:paraId="1EC6137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methanolic extract</w:t>
            </w:r>
          </w:p>
        </w:tc>
        <w:tc>
          <w:tcPr>
            <w:tcW w:w="2910" w:type="dxa"/>
            <w:tcBorders>
              <w:top w:val="outset" w:sz="6" w:space="0" w:color="auto"/>
              <w:left w:val="outset" w:sz="6" w:space="0" w:color="auto"/>
              <w:bottom w:val="outset" w:sz="6" w:space="0" w:color="auto"/>
              <w:right w:val="outset" w:sz="6" w:space="0" w:color="auto"/>
            </w:tcBorders>
            <w:hideMark/>
          </w:tcPr>
          <w:p w14:paraId="2FE46DF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flavanones and phenolic acids</w:t>
            </w:r>
          </w:p>
        </w:tc>
        <w:tc>
          <w:tcPr>
            <w:tcW w:w="2685" w:type="dxa"/>
            <w:tcBorders>
              <w:top w:val="outset" w:sz="6" w:space="0" w:color="auto"/>
              <w:left w:val="outset" w:sz="6" w:space="0" w:color="auto"/>
              <w:bottom w:val="outset" w:sz="6" w:space="0" w:color="auto"/>
              <w:right w:val="outset" w:sz="6" w:space="0" w:color="auto"/>
            </w:tcBorders>
            <w:hideMark/>
          </w:tcPr>
          <w:p w14:paraId="695B014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antioxidant and anti-inflammatory activity</w:t>
            </w:r>
          </w:p>
        </w:tc>
        <w:tc>
          <w:tcPr>
            <w:tcW w:w="1860" w:type="dxa"/>
            <w:tcBorders>
              <w:top w:val="outset" w:sz="6" w:space="0" w:color="auto"/>
              <w:left w:val="outset" w:sz="6" w:space="0" w:color="auto"/>
              <w:bottom w:val="outset" w:sz="6" w:space="0" w:color="auto"/>
              <w:right w:val="outset" w:sz="6" w:space="0" w:color="auto"/>
            </w:tcBorders>
            <w:hideMark/>
          </w:tcPr>
          <w:p w14:paraId="634DFB1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Pobłocka-Olech et al. 2018</w:t>
            </w:r>
          </w:p>
        </w:tc>
      </w:tr>
      <w:tr w:rsidR="00E56A40" w:rsidRPr="00E56A40" w14:paraId="5374B4A4" w14:textId="77777777" w:rsidTr="00E56A40">
        <w:trPr>
          <w:tblCellSpacing w:w="0" w:type="dxa"/>
        </w:trPr>
        <w:tc>
          <w:tcPr>
            <w:tcW w:w="1575" w:type="dxa"/>
            <w:tcBorders>
              <w:top w:val="outset" w:sz="6" w:space="0" w:color="auto"/>
              <w:left w:val="outset" w:sz="6" w:space="0" w:color="auto"/>
              <w:bottom w:val="outset" w:sz="6" w:space="0" w:color="auto"/>
              <w:right w:val="outset" w:sz="6" w:space="0" w:color="auto"/>
            </w:tcBorders>
            <w:hideMark/>
          </w:tcPr>
          <w:p w14:paraId="42684F1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buds</w:t>
            </w:r>
          </w:p>
        </w:tc>
        <w:tc>
          <w:tcPr>
            <w:tcW w:w="2310" w:type="dxa"/>
            <w:tcBorders>
              <w:top w:val="outset" w:sz="6" w:space="0" w:color="auto"/>
              <w:left w:val="outset" w:sz="6" w:space="0" w:color="auto"/>
              <w:bottom w:val="outset" w:sz="6" w:space="0" w:color="auto"/>
              <w:right w:val="outset" w:sz="6" w:space="0" w:color="auto"/>
            </w:tcBorders>
            <w:hideMark/>
          </w:tcPr>
          <w:p w14:paraId="36B03D6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supercritical CO2</w:t>
            </w:r>
          </w:p>
        </w:tc>
        <w:tc>
          <w:tcPr>
            <w:tcW w:w="2910" w:type="dxa"/>
            <w:tcBorders>
              <w:top w:val="outset" w:sz="6" w:space="0" w:color="auto"/>
              <w:left w:val="outset" w:sz="6" w:space="0" w:color="auto"/>
              <w:bottom w:val="outset" w:sz="6" w:space="0" w:color="auto"/>
              <w:right w:val="outset" w:sz="6" w:space="0" w:color="auto"/>
            </w:tcBorders>
            <w:hideMark/>
          </w:tcPr>
          <w:p w14:paraId="2230ED9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pinostrobin chalcone, β-eudesmol, α-eudesmol, 2-methyl-2-butenyl-p-coumarate, pentyl-p-coumarate, γ-eudesmol, benzyl salicylate</w:t>
            </w:r>
          </w:p>
        </w:tc>
        <w:tc>
          <w:tcPr>
            <w:tcW w:w="2685" w:type="dxa"/>
            <w:tcBorders>
              <w:top w:val="outset" w:sz="6" w:space="0" w:color="auto"/>
              <w:left w:val="outset" w:sz="6" w:space="0" w:color="auto"/>
              <w:bottom w:val="outset" w:sz="6" w:space="0" w:color="auto"/>
              <w:right w:val="outset" w:sz="6" w:space="0" w:color="auto"/>
            </w:tcBorders>
            <w:hideMark/>
          </w:tcPr>
          <w:p w14:paraId="4A178AC7"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precursors of poplar-type propolis</w:t>
            </w:r>
          </w:p>
        </w:tc>
        <w:tc>
          <w:tcPr>
            <w:tcW w:w="1860" w:type="dxa"/>
            <w:tcBorders>
              <w:top w:val="outset" w:sz="6" w:space="0" w:color="auto"/>
              <w:left w:val="outset" w:sz="6" w:space="0" w:color="auto"/>
              <w:bottom w:val="outset" w:sz="6" w:space="0" w:color="auto"/>
              <w:right w:val="outset" w:sz="6" w:space="0" w:color="auto"/>
            </w:tcBorders>
            <w:hideMark/>
          </w:tcPr>
          <w:p w14:paraId="0433D4B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Kuś et al. 2018</w:t>
            </w:r>
          </w:p>
        </w:tc>
      </w:tr>
    </w:tbl>
    <w:p w14:paraId="3F42E5F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 no data</w:t>
      </w:r>
    </w:p>
    <w:p w14:paraId="047C641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33194EE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p w14:paraId="6CF5C23F"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Komoda Y.  Isolation of flavonoids from Populus nigra as delta 4-3-ketosteroid (5 alpha) reductase inhibitors. Chem Pharm Bull (Tokyo). 1989;37(11):3128-30.</w:t>
      </w:r>
    </w:p>
    <w:p w14:paraId="2B29D729"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lastRenderedPageBreak/>
        <w:t>Glinkowska G, Bałan B, Sommer E, Demkow U, Sokolnicka I, Strzelecka H, Skopińska-Rózewska E. The effect of phenolic compounds of poplar leaves extract on cutaneous angiogenesis reaction induced in mice by human mononuclear leukocytes. Acta Pol Pharm. 1997;54(2):151-4.</w:t>
      </w:r>
    </w:p>
    <w:p w14:paraId="7F30058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Havlik J, Gonzalez de la Huebra R, Hejtmankova K, Fernandez J, Simonova J, Melich M, Rada V. Xanthine oxidase inhibitory properties of Czech medicinal plants. J Ethnopharmacol. 2010;132(2):461-5.</w:t>
      </w:r>
    </w:p>
    <w:p w14:paraId="704FF5E2"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Dudonné S, Poupard P, Coutière P, Woillez M, Richard T, Mérillon JM, Vitrac X. Phenolic composition and antioxidant properties of poplar bud (Populus nigra) extract: individual antioxidant contribution of phenolics and transcriptional effect on skin aging. J Agric Food Chem. 2011;59(9):4527-36.</w:t>
      </w:r>
    </w:p>
    <w:p w14:paraId="4698DF0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Zhong L, Zhou L, Zhou Y, Chen Y, Sui P, Wang J, Wang M. Antimicrobial flavonoids from the twigs of Populus nigra x Populus deltoides. Nat Prod Res. 2012;26(4):307-13.</w:t>
      </w:r>
    </w:p>
    <w:p w14:paraId="71B00599"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Debbache-Benaida N, Atmani-Kilani D, Schini-Keirth VB, Djebbli N, Atmani D. Pharmacological potential of Populus nigra extract as antioxidant, anti-inflammatory, cardiovascular and hepatoprotective agent. Asian Pac J Trop Biomed. 2013;3(9):697-704.</w:t>
      </w:r>
    </w:p>
    <w:p w14:paraId="08D3AF6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Li D, Peng W, Ge S, Mo B, Zhang Z, Qin D. Analysis on active molecules in Populus nigra wood extractives by GC-MS. Pak J Pharm Sci. 2014;27(6 Suppl):2061-5.</w:t>
      </w:r>
    </w:p>
    <w:p w14:paraId="3BFDB15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Pașca C, Mărghitaș L, Dezmirean D, Bobiș O, Bonta V, Chirilă F, Matei I, Fiț N. Medicinal Plants Based Products Tested on Pathogens Isolated from Mastitis Milk. Molecules. 2017;22(9).</w:t>
      </w:r>
    </w:p>
    <w:p w14:paraId="0E89B1D9"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Kuś P, Jerković I, Jakovljević M, Jokić S. Extraction of bioactive phenolics from black poplar (Populus nigra L.) buds by supercritical CO2 and its optimization by response surface methodology. J Pharm Biomed Anal. 2018;152:128-136.</w:t>
      </w:r>
    </w:p>
    <w:p w14:paraId="537897BD"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Radulea N, Grigore A, Ionita C, Goanta AM, Ignatescu RM, Mihai A, Ionita L. Anti-inflammatory and antioxidant potential of Populus nigra L. buds extract. Journal of Biotechnology, 2018, 280, Supp.30, S67.</w:t>
      </w:r>
    </w:p>
    <w:p w14:paraId="5462198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Pobłocka-Olech L, Inkielewicz-Stepniak I, Krauze-Baranowska M. Anti-inflammatory and antioxidative effects of the buds from different species of Populus in human gingival fibroblast cells: role of  bioflavanones. Phytomedicine, 2018, https://doi.org/10.1016/j.phymed.2018.08.015.</w:t>
      </w:r>
    </w:p>
    <w:p w14:paraId="527B4C0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lang w:val="en-US" w:eastAsia="pl-PL"/>
        </w:rPr>
        <w:t xml:space="preserve">Kuś PM, Okińczyc P, Jakovljević M, Jokić S, Jerković I. Development of supercritical CO2 extraction of bioactive phytochemicals from black poplar (Populus nigra L.) buds followed by GC–MS and UHPLC-DAD-QqTOF-MS. </w:t>
      </w:r>
      <w:r w:rsidRPr="00E56A40">
        <w:rPr>
          <w:rFonts w:ascii="Times New Roman" w:eastAsia="Times New Roman" w:hAnsi="Times New Roman" w:cs="Times New Roman"/>
          <w:sz w:val="24"/>
          <w:szCs w:val="24"/>
          <w:lang w:eastAsia="pl-PL"/>
        </w:rPr>
        <w:t>J Pharmaceutical Biomed Anal, 2018, 158: 15-27.</w:t>
      </w:r>
    </w:p>
    <w:p w14:paraId="5F1FA00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5B4AE1F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Miscanthus x giganteus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67"/>
        <w:gridCol w:w="1895"/>
        <w:gridCol w:w="2419"/>
        <w:gridCol w:w="2149"/>
        <w:gridCol w:w="1426"/>
      </w:tblGrid>
      <w:tr w:rsidR="00E56A40" w:rsidRPr="00E56A40" w14:paraId="4ADB7CC0"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62CBAE2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Source</w:t>
            </w:r>
          </w:p>
        </w:tc>
        <w:tc>
          <w:tcPr>
            <w:tcW w:w="2205" w:type="dxa"/>
            <w:tcBorders>
              <w:top w:val="outset" w:sz="6" w:space="0" w:color="auto"/>
              <w:left w:val="outset" w:sz="6" w:space="0" w:color="auto"/>
              <w:bottom w:val="outset" w:sz="6" w:space="0" w:color="auto"/>
              <w:right w:val="outset" w:sz="6" w:space="0" w:color="auto"/>
            </w:tcBorders>
            <w:hideMark/>
          </w:tcPr>
          <w:p w14:paraId="3AE3E2F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Extraction methods/solvent</w:t>
            </w:r>
          </w:p>
        </w:tc>
        <w:tc>
          <w:tcPr>
            <w:tcW w:w="2805" w:type="dxa"/>
            <w:tcBorders>
              <w:top w:val="outset" w:sz="6" w:space="0" w:color="auto"/>
              <w:left w:val="outset" w:sz="6" w:space="0" w:color="auto"/>
              <w:bottom w:val="outset" w:sz="6" w:space="0" w:color="auto"/>
              <w:right w:val="outset" w:sz="6" w:space="0" w:color="auto"/>
            </w:tcBorders>
            <w:hideMark/>
          </w:tcPr>
          <w:p w14:paraId="5386A8F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Compound</w:t>
            </w:r>
          </w:p>
        </w:tc>
        <w:tc>
          <w:tcPr>
            <w:tcW w:w="2745" w:type="dxa"/>
            <w:tcBorders>
              <w:top w:val="outset" w:sz="6" w:space="0" w:color="auto"/>
              <w:left w:val="outset" w:sz="6" w:space="0" w:color="auto"/>
              <w:bottom w:val="outset" w:sz="6" w:space="0" w:color="auto"/>
              <w:right w:val="outset" w:sz="6" w:space="0" w:color="auto"/>
            </w:tcBorders>
            <w:hideMark/>
          </w:tcPr>
          <w:p w14:paraId="700D155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Biological activity</w:t>
            </w:r>
          </w:p>
        </w:tc>
        <w:tc>
          <w:tcPr>
            <w:tcW w:w="1905" w:type="dxa"/>
            <w:tcBorders>
              <w:top w:val="outset" w:sz="6" w:space="0" w:color="auto"/>
              <w:left w:val="outset" w:sz="6" w:space="0" w:color="auto"/>
              <w:bottom w:val="outset" w:sz="6" w:space="0" w:color="auto"/>
              <w:right w:val="outset" w:sz="6" w:space="0" w:color="auto"/>
            </w:tcBorders>
            <w:hideMark/>
          </w:tcPr>
          <w:p w14:paraId="40F9D13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tc>
      </w:tr>
      <w:tr w:rsidR="00E56A40" w:rsidRPr="00E56A40" w14:paraId="7D210868"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614DA8D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all plants</w:t>
            </w:r>
          </w:p>
        </w:tc>
        <w:tc>
          <w:tcPr>
            <w:tcW w:w="2205" w:type="dxa"/>
            <w:tcBorders>
              <w:top w:val="outset" w:sz="6" w:space="0" w:color="auto"/>
              <w:left w:val="outset" w:sz="6" w:space="0" w:color="auto"/>
              <w:bottom w:val="outset" w:sz="6" w:space="0" w:color="auto"/>
              <w:right w:val="outset" w:sz="6" w:space="0" w:color="auto"/>
            </w:tcBorders>
            <w:hideMark/>
          </w:tcPr>
          <w:p w14:paraId="7B52364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t>
            </w:r>
          </w:p>
        </w:tc>
        <w:tc>
          <w:tcPr>
            <w:tcW w:w="2805" w:type="dxa"/>
            <w:tcBorders>
              <w:top w:val="outset" w:sz="6" w:space="0" w:color="auto"/>
              <w:left w:val="outset" w:sz="6" w:space="0" w:color="auto"/>
              <w:bottom w:val="outset" w:sz="6" w:space="0" w:color="auto"/>
              <w:right w:val="outset" w:sz="6" w:space="0" w:color="auto"/>
            </w:tcBorders>
            <w:hideMark/>
          </w:tcPr>
          <w:p w14:paraId="1BFA737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745" w:type="dxa"/>
            <w:tcBorders>
              <w:top w:val="outset" w:sz="6" w:space="0" w:color="auto"/>
              <w:left w:val="outset" w:sz="6" w:space="0" w:color="auto"/>
              <w:bottom w:val="outset" w:sz="6" w:space="0" w:color="auto"/>
              <w:right w:val="outset" w:sz="6" w:space="0" w:color="auto"/>
            </w:tcBorders>
            <w:hideMark/>
          </w:tcPr>
          <w:p w14:paraId="722CF60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phytoextraction of chlordecone from contaminated soils</w:t>
            </w:r>
          </w:p>
        </w:tc>
        <w:tc>
          <w:tcPr>
            <w:tcW w:w="1905" w:type="dxa"/>
            <w:tcBorders>
              <w:top w:val="outset" w:sz="6" w:space="0" w:color="auto"/>
              <w:left w:val="outset" w:sz="6" w:space="0" w:color="auto"/>
              <w:bottom w:val="outset" w:sz="6" w:space="0" w:color="auto"/>
              <w:right w:val="outset" w:sz="6" w:space="0" w:color="auto"/>
            </w:tcBorders>
            <w:hideMark/>
          </w:tcPr>
          <w:p w14:paraId="41E8055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Liber et al. 2018</w:t>
            </w:r>
          </w:p>
        </w:tc>
      </w:tr>
      <w:tr w:rsidR="00E56A40" w:rsidRPr="00E56A40" w14:paraId="0C66E3B0"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774C740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all plants</w:t>
            </w:r>
          </w:p>
        </w:tc>
        <w:tc>
          <w:tcPr>
            <w:tcW w:w="2205" w:type="dxa"/>
            <w:tcBorders>
              <w:top w:val="outset" w:sz="6" w:space="0" w:color="auto"/>
              <w:left w:val="outset" w:sz="6" w:space="0" w:color="auto"/>
              <w:bottom w:val="outset" w:sz="6" w:space="0" w:color="auto"/>
              <w:right w:val="outset" w:sz="6" w:space="0" w:color="auto"/>
            </w:tcBorders>
            <w:hideMark/>
          </w:tcPr>
          <w:p w14:paraId="4B0BAF92"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autohydrolysis and activated carbon adsorption and ethanol elution</w:t>
            </w:r>
          </w:p>
        </w:tc>
        <w:tc>
          <w:tcPr>
            <w:tcW w:w="2805" w:type="dxa"/>
            <w:tcBorders>
              <w:top w:val="outset" w:sz="6" w:space="0" w:color="auto"/>
              <w:left w:val="outset" w:sz="6" w:space="0" w:color="auto"/>
              <w:bottom w:val="outset" w:sz="6" w:space="0" w:color="auto"/>
              <w:right w:val="outset" w:sz="6" w:space="0" w:color="auto"/>
            </w:tcBorders>
            <w:hideMark/>
          </w:tcPr>
          <w:p w14:paraId="1A5B401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xylooligosaccharides</w:t>
            </w:r>
          </w:p>
        </w:tc>
        <w:tc>
          <w:tcPr>
            <w:tcW w:w="2745" w:type="dxa"/>
            <w:tcBorders>
              <w:top w:val="outset" w:sz="6" w:space="0" w:color="auto"/>
              <w:left w:val="outset" w:sz="6" w:space="0" w:color="auto"/>
              <w:bottom w:val="outset" w:sz="6" w:space="0" w:color="auto"/>
              <w:right w:val="outset" w:sz="6" w:space="0" w:color="auto"/>
            </w:tcBorders>
            <w:hideMark/>
          </w:tcPr>
          <w:p w14:paraId="39B69A35"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source of carbon to culture of </w:t>
            </w:r>
            <w:r w:rsidRPr="00FF4196">
              <w:rPr>
                <w:rFonts w:ascii="Times New Roman" w:eastAsia="Times New Roman" w:hAnsi="Times New Roman" w:cs="Times New Roman"/>
                <w:i/>
                <w:iCs/>
                <w:sz w:val="24"/>
                <w:szCs w:val="24"/>
                <w:lang w:val="en-US" w:eastAsia="pl-PL"/>
              </w:rPr>
              <w:t>Bifidobacterium adolescentis</w:t>
            </w:r>
            <w:r w:rsidRPr="00FF4196">
              <w:rPr>
                <w:rFonts w:ascii="Times New Roman" w:eastAsia="Times New Roman" w:hAnsi="Times New Roman" w:cs="Times New Roman"/>
                <w:sz w:val="24"/>
                <w:szCs w:val="24"/>
                <w:lang w:val="en-US" w:eastAsia="pl-PL"/>
              </w:rPr>
              <w:t xml:space="preserve"> and </w:t>
            </w:r>
            <w:r w:rsidRPr="00FF4196">
              <w:rPr>
                <w:rFonts w:ascii="Times New Roman" w:eastAsia="Times New Roman" w:hAnsi="Times New Roman" w:cs="Times New Roman"/>
                <w:i/>
                <w:iCs/>
                <w:sz w:val="24"/>
                <w:szCs w:val="24"/>
                <w:lang w:val="en-US" w:eastAsia="pl-PL"/>
              </w:rPr>
              <w:t>Bifidobacterium catenulatum</w:t>
            </w:r>
          </w:p>
        </w:tc>
        <w:tc>
          <w:tcPr>
            <w:tcW w:w="1905" w:type="dxa"/>
            <w:tcBorders>
              <w:top w:val="outset" w:sz="6" w:space="0" w:color="auto"/>
              <w:left w:val="outset" w:sz="6" w:space="0" w:color="auto"/>
              <w:bottom w:val="outset" w:sz="6" w:space="0" w:color="auto"/>
              <w:right w:val="outset" w:sz="6" w:space="0" w:color="auto"/>
            </w:tcBorders>
            <w:hideMark/>
          </w:tcPr>
          <w:p w14:paraId="2D46B3A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Chen et al. 2016</w:t>
            </w:r>
          </w:p>
        </w:tc>
      </w:tr>
      <w:tr w:rsidR="00E56A40" w:rsidRPr="00E56A40" w14:paraId="5760FC10"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62399E7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all plants</w:t>
            </w:r>
          </w:p>
        </w:tc>
        <w:tc>
          <w:tcPr>
            <w:tcW w:w="2205" w:type="dxa"/>
            <w:tcBorders>
              <w:top w:val="outset" w:sz="6" w:space="0" w:color="auto"/>
              <w:left w:val="outset" w:sz="6" w:space="0" w:color="auto"/>
              <w:bottom w:val="outset" w:sz="6" w:space="0" w:color="auto"/>
              <w:right w:val="outset" w:sz="6" w:space="0" w:color="auto"/>
            </w:tcBorders>
            <w:hideMark/>
          </w:tcPr>
          <w:p w14:paraId="5782338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mechanically press juice</w:t>
            </w:r>
          </w:p>
        </w:tc>
        <w:tc>
          <w:tcPr>
            <w:tcW w:w="2805" w:type="dxa"/>
            <w:tcBorders>
              <w:top w:val="outset" w:sz="6" w:space="0" w:color="auto"/>
              <w:left w:val="outset" w:sz="6" w:space="0" w:color="auto"/>
              <w:bottom w:val="outset" w:sz="6" w:space="0" w:color="auto"/>
              <w:right w:val="outset" w:sz="6" w:space="0" w:color="auto"/>
            </w:tcBorders>
            <w:hideMark/>
          </w:tcPr>
          <w:p w14:paraId="38FF56C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t>
            </w:r>
          </w:p>
        </w:tc>
        <w:tc>
          <w:tcPr>
            <w:tcW w:w="2745" w:type="dxa"/>
            <w:tcBorders>
              <w:top w:val="outset" w:sz="6" w:space="0" w:color="auto"/>
              <w:left w:val="outset" w:sz="6" w:space="0" w:color="auto"/>
              <w:bottom w:val="outset" w:sz="6" w:space="0" w:color="auto"/>
              <w:right w:val="outset" w:sz="6" w:space="0" w:color="auto"/>
            </w:tcBorders>
            <w:hideMark/>
          </w:tcPr>
          <w:p w14:paraId="36B1B603"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nutritious source for the cultivation of lactic acid bacteria and yeast </w:t>
            </w:r>
            <w:r w:rsidRPr="00FF4196">
              <w:rPr>
                <w:rFonts w:ascii="Times New Roman" w:eastAsia="Times New Roman" w:hAnsi="Times New Roman" w:cs="Times New Roman"/>
                <w:i/>
                <w:iCs/>
                <w:sz w:val="24"/>
                <w:szCs w:val="24"/>
                <w:lang w:val="en-US" w:eastAsia="pl-PL"/>
              </w:rPr>
              <w:t>S. cerevisiae</w:t>
            </w:r>
          </w:p>
        </w:tc>
        <w:tc>
          <w:tcPr>
            <w:tcW w:w="1905" w:type="dxa"/>
            <w:tcBorders>
              <w:top w:val="outset" w:sz="6" w:space="0" w:color="auto"/>
              <w:left w:val="outset" w:sz="6" w:space="0" w:color="auto"/>
              <w:bottom w:val="outset" w:sz="6" w:space="0" w:color="auto"/>
              <w:right w:val="outset" w:sz="6" w:space="0" w:color="auto"/>
            </w:tcBorders>
            <w:hideMark/>
          </w:tcPr>
          <w:p w14:paraId="5AA06C2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Boakye-Boaten et al. 2016</w:t>
            </w:r>
          </w:p>
        </w:tc>
      </w:tr>
      <w:tr w:rsidR="00E56A40" w:rsidRPr="00E56A40" w14:paraId="7E599D96"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3EB2D5F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 and stems</w:t>
            </w:r>
          </w:p>
        </w:tc>
        <w:tc>
          <w:tcPr>
            <w:tcW w:w="2205" w:type="dxa"/>
            <w:tcBorders>
              <w:top w:val="outset" w:sz="6" w:space="0" w:color="auto"/>
              <w:left w:val="outset" w:sz="6" w:space="0" w:color="auto"/>
              <w:bottom w:val="outset" w:sz="6" w:space="0" w:color="auto"/>
              <w:right w:val="outset" w:sz="6" w:space="0" w:color="auto"/>
            </w:tcBorders>
            <w:hideMark/>
          </w:tcPr>
          <w:p w14:paraId="6DC8457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 extract</w:t>
            </w:r>
          </w:p>
        </w:tc>
        <w:tc>
          <w:tcPr>
            <w:tcW w:w="2805" w:type="dxa"/>
            <w:tcBorders>
              <w:top w:val="outset" w:sz="6" w:space="0" w:color="auto"/>
              <w:left w:val="outset" w:sz="6" w:space="0" w:color="auto"/>
              <w:bottom w:val="outset" w:sz="6" w:space="0" w:color="auto"/>
              <w:right w:val="outset" w:sz="6" w:space="0" w:color="auto"/>
            </w:tcBorders>
            <w:hideMark/>
          </w:tcPr>
          <w:p w14:paraId="371ED2E8"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hydroxycinnamic acid conjugates and flavonoids</w:t>
            </w:r>
          </w:p>
        </w:tc>
        <w:tc>
          <w:tcPr>
            <w:tcW w:w="2745" w:type="dxa"/>
            <w:tcBorders>
              <w:top w:val="outset" w:sz="6" w:space="0" w:color="auto"/>
              <w:left w:val="outset" w:sz="6" w:space="0" w:color="auto"/>
              <w:bottom w:val="outset" w:sz="6" w:space="0" w:color="auto"/>
              <w:right w:val="outset" w:sz="6" w:space="0" w:color="auto"/>
            </w:tcBorders>
            <w:hideMark/>
          </w:tcPr>
          <w:p w14:paraId="348DE9E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905" w:type="dxa"/>
            <w:tcBorders>
              <w:top w:val="outset" w:sz="6" w:space="0" w:color="auto"/>
              <w:left w:val="outset" w:sz="6" w:space="0" w:color="auto"/>
              <w:bottom w:val="outset" w:sz="6" w:space="0" w:color="auto"/>
              <w:right w:val="outset" w:sz="6" w:space="0" w:color="auto"/>
            </w:tcBorders>
            <w:hideMark/>
          </w:tcPr>
          <w:p w14:paraId="4353BBD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Parveen et al. 2011</w:t>
            </w:r>
          </w:p>
        </w:tc>
      </w:tr>
    </w:tbl>
    <w:p w14:paraId="4EFF811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 no data</w:t>
      </w:r>
    </w:p>
    <w:p w14:paraId="3B0779D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28DAE37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p w14:paraId="7054E6F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Liber, Y., et al. (2018). "Growth parameters influencing uptake of chlordecone by Miscanthus species." Sci Total Environ 624: 831-837.</w:t>
      </w:r>
    </w:p>
    <w:p w14:paraId="042DFF1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Chen, M.H., et al. (2016). “Miscanthus×giganteus xylooligosaccharides: Purification and fermentation.” Carbohydr Polym 140: 96-103.</w:t>
      </w:r>
    </w:p>
    <w:p w14:paraId="73A0731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Boakye-Boaten, N.A., et al. (2016). “Uses of miscanthus press juice within a green biorefinery platform.” Bioresour Technol 207:285-292.</w:t>
      </w:r>
    </w:p>
    <w:p w14:paraId="6D6B3F3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lang w:val="en-US" w:eastAsia="pl-PL"/>
        </w:rPr>
        <w:t>Parveen I., et al. (2011). “Isolation, identification and quantitation of hydroxycinnamic acid conjugates, potential platform chemicals, in the leaves and stems of Miscanthus × giganteus using LC-ESI-MS</w:t>
      </w:r>
      <w:r w:rsidRPr="00FF4196">
        <w:rPr>
          <w:rFonts w:ascii="Times New Roman" w:eastAsia="Times New Roman" w:hAnsi="Times New Roman" w:cs="Times New Roman"/>
          <w:sz w:val="24"/>
          <w:szCs w:val="24"/>
          <w:vertAlign w:val="superscript"/>
          <w:lang w:val="en-US" w:eastAsia="pl-PL"/>
        </w:rPr>
        <w:t>n</w:t>
      </w:r>
      <w:r w:rsidRPr="00FF4196">
        <w:rPr>
          <w:rFonts w:ascii="Times New Roman" w:eastAsia="Times New Roman" w:hAnsi="Times New Roman" w:cs="Times New Roman"/>
          <w:sz w:val="24"/>
          <w:szCs w:val="24"/>
          <w:lang w:val="en-US" w:eastAsia="pl-PL"/>
        </w:rPr>
        <w:t xml:space="preserve">.” </w:t>
      </w:r>
      <w:r w:rsidRPr="00E56A40">
        <w:rPr>
          <w:rFonts w:ascii="Times New Roman" w:eastAsia="Times New Roman" w:hAnsi="Times New Roman" w:cs="Times New Roman"/>
          <w:sz w:val="24"/>
          <w:szCs w:val="24"/>
          <w:lang w:eastAsia="pl-PL"/>
        </w:rPr>
        <w:t>Phytochemistry 72(18):2376-2384.</w:t>
      </w:r>
    </w:p>
    <w:p w14:paraId="466544D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360F1C4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Miscanthus sinensis</w:t>
      </w:r>
      <w:r w:rsidRPr="00E56A40">
        <w:rPr>
          <w:rFonts w:ascii="Times New Roman" w:eastAsia="Times New Roman" w:hAnsi="Times New Roman" w:cs="Times New Roman"/>
          <w:i/>
          <w:iCs/>
          <w:sz w:val="24"/>
          <w:szCs w:val="24"/>
          <w:lang w:eastAsia="pl-PL"/>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1"/>
        <w:gridCol w:w="1892"/>
        <w:gridCol w:w="2370"/>
        <w:gridCol w:w="2115"/>
        <w:gridCol w:w="1428"/>
      </w:tblGrid>
      <w:tr w:rsidR="00E56A40" w:rsidRPr="00E56A40" w14:paraId="037FFF18"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7CBC119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Source</w:t>
            </w:r>
          </w:p>
        </w:tc>
        <w:tc>
          <w:tcPr>
            <w:tcW w:w="2205" w:type="dxa"/>
            <w:tcBorders>
              <w:top w:val="outset" w:sz="6" w:space="0" w:color="auto"/>
              <w:left w:val="outset" w:sz="6" w:space="0" w:color="auto"/>
              <w:bottom w:val="outset" w:sz="6" w:space="0" w:color="auto"/>
              <w:right w:val="outset" w:sz="6" w:space="0" w:color="auto"/>
            </w:tcBorders>
            <w:hideMark/>
          </w:tcPr>
          <w:p w14:paraId="55FC23E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Extraction methods/solvent</w:t>
            </w:r>
          </w:p>
        </w:tc>
        <w:tc>
          <w:tcPr>
            <w:tcW w:w="2805" w:type="dxa"/>
            <w:tcBorders>
              <w:top w:val="outset" w:sz="6" w:space="0" w:color="auto"/>
              <w:left w:val="outset" w:sz="6" w:space="0" w:color="auto"/>
              <w:bottom w:val="outset" w:sz="6" w:space="0" w:color="auto"/>
              <w:right w:val="outset" w:sz="6" w:space="0" w:color="auto"/>
            </w:tcBorders>
            <w:hideMark/>
          </w:tcPr>
          <w:p w14:paraId="44FB12F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Compound</w:t>
            </w:r>
          </w:p>
        </w:tc>
        <w:tc>
          <w:tcPr>
            <w:tcW w:w="2745" w:type="dxa"/>
            <w:tcBorders>
              <w:top w:val="outset" w:sz="6" w:space="0" w:color="auto"/>
              <w:left w:val="outset" w:sz="6" w:space="0" w:color="auto"/>
              <w:bottom w:val="outset" w:sz="6" w:space="0" w:color="auto"/>
              <w:right w:val="outset" w:sz="6" w:space="0" w:color="auto"/>
            </w:tcBorders>
            <w:hideMark/>
          </w:tcPr>
          <w:p w14:paraId="6F14503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Biological activity</w:t>
            </w:r>
          </w:p>
        </w:tc>
        <w:tc>
          <w:tcPr>
            <w:tcW w:w="1905" w:type="dxa"/>
            <w:tcBorders>
              <w:top w:val="outset" w:sz="6" w:space="0" w:color="auto"/>
              <w:left w:val="outset" w:sz="6" w:space="0" w:color="auto"/>
              <w:bottom w:val="outset" w:sz="6" w:space="0" w:color="auto"/>
              <w:right w:val="outset" w:sz="6" w:space="0" w:color="auto"/>
            </w:tcBorders>
            <w:hideMark/>
          </w:tcPr>
          <w:p w14:paraId="79566C2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tc>
      </w:tr>
      <w:tr w:rsidR="00E56A40" w:rsidRPr="00E56A40" w14:paraId="1A9E4C91"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6069F6F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spikes</w:t>
            </w:r>
          </w:p>
        </w:tc>
        <w:tc>
          <w:tcPr>
            <w:tcW w:w="2205" w:type="dxa"/>
            <w:tcBorders>
              <w:top w:val="outset" w:sz="6" w:space="0" w:color="auto"/>
              <w:left w:val="outset" w:sz="6" w:space="0" w:color="auto"/>
              <w:bottom w:val="outset" w:sz="6" w:space="0" w:color="auto"/>
              <w:right w:val="outset" w:sz="6" w:space="0" w:color="auto"/>
            </w:tcBorders>
            <w:hideMark/>
          </w:tcPr>
          <w:p w14:paraId="5C35156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water extract</w:t>
            </w:r>
          </w:p>
        </w:tc>
        <w:tc>
          <w:tcPr>
            <w:tcW w:w="2805" w:type="dxa"/>
            <w:tcBorders>
              <w:top w:val="outset" w:sz="6" w:space="0" w:color="auto"/>
              <w:left w:val="outset" w:sz="6" w:space="0" w:color="auto"/>
              <w:bottom w:val="outset" w:sz="6" w:space="0" w:color="auto"/>
              <w:right w:val="outset" w:sz="6" w:space="0" w:color="auto"/>
            </w:tcBorders>
            <w:hideMark/>
          </w:tcPr>
          <w:p w14:paraId="7B8249C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745" w:type="dxa"/>
            <w:tcBorders>
              <w:top w:val="outset" w:sz="6" w:space="0" w:color="auto"/>
              <w:left w:val="outset" w:sz="6" w:space="0" w:color="auto"/>
              <w:bottom w:val="outset" w:sz="6" w:space="0" w:color="auto"/>
              <w:right w:val="outset" w:sz="6" w:space="0" w:color="auto"/>
            </w:tcBorders>
            <w:hideMark/>
          </w:tcPr>
          <w:p w14:paraId="50548CA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IgE antibody formation in mice</w:t>
            </w:r>
          </w:p>
        </w:tc>
        <w:tc>
          <w:tcPr>
            <w:tcW w:w="1905" w:type="dxa"/>
            <w:tcBorders>
              <w:top w:val="outset" w:sz="6" w:space="0" w:color="auto"/>
              <w:left w:val="outset" w:sz="6" w:space="0" w:color="auto"/>
              <w:bottom w:val="outset" w:sz="6" w:space="0" w:color="auto"/>
              <w:right w:val="outset" w:sz="6" w:space="0" w:color="auto"/>
            </w:tcBorders>
            <w:hideMark/>
          </w:tcPr>
          <w:p w14:paraId="56A532E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Xu et al. 1993</w:t>
            </w:r>
          </w:p>
        </w:tc>
      </w:tr>
      <w:tr w:rsidR="00E56A40" w:rsidRPr="00E56A40" w14:paraId="235F0493"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45EC143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spikelets</w:t>
            </w:r>
          </w:p>
        </w:tc>
        <w:tc>
          <w:tcPr>
            <w:tcW w:w="2205" w:type="dxa"/>
            <w:tcBorders>
              <w:top w:val="outset" w:sz="6" w:space="0" w:color="auto"/>
              <w:left w:val="outset" w:sz="6" w:space="0" w:color="auto"/>
              <w:bottom w:val="outset" w:sz="6" w:space="0" w:color="auto"/>
              <w:right w:val="outset" w:sz="6" w:space="0" w:color="auto"/>
            </w:tcBorders>
            <w:hideMark/>
          </w:tcPr>
          <w:p w14:paraId="0CCF7A8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water and methanol extracts</w:t>
            </w:r>
          </w:p>
        </w:tc>
        <w:tc>
          <w:tcPr>
            <w:tcW w:w="2805" w:type="dxa"/>
            <w:tcBorders>
              <w:top w:val="outset" w:sz="6" w:space="0" w:color="auto"/>
              <w:left w:val="outset" w:sz="6" w:space="0" w:color="auto"/>
              <w:bottom w:val="outset" w:sz="6" w:space="0" w:color="auto"/>
              <w:right w:val="outset" w:sz="6" w:space="0" w:color="auto"/>
            </w:tcBorders>
            <w:hideMark/>
          </w:tcPr>
          <w:p w14:paraId="0E9BBDD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glycoproteins</w:t>
            </w:r>
          </w:p>
        </w:tc>
        <w:tc>
          <w:tcPr>
            <w:tcW w:w="2745" w:type="dxa"/>
            <w:tcBorders>
              <w:top w:val="outset" w:sz="6" w:space="0" w:color="auto"/>
              <w:left w:val="outset" w:sz="6" w:space="0" w:color="auto"/>
              <w:bottom w:val="outset" w:sz="6" w:space="0" w:color="auto"/>
              <w:right w:val="outset" w:sz="6" w:space="0" w:color="auto"/>
            </w:tcBorders>
            <w:hideMark/>
          </w:tcPr>
          <w:p w14:paraId="07CEE189"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IgE-mediated biphasic cutaneous reactions in mice</w:t>
            </w:r>
          </w:p>
        </w:tc>
        <w:tc>
          <w:tcPr>
            <w:tcW w:w="1905" w:type="dxa"/>
            <w:tcBorders>
              <w:top w:val="outset" w:sz="6" w:space="0" w:color="auto"/>
              <w:left w:val="outset" w:sz="6" w:space="0" w:color="auto"/>
              <w:bottom w:val="outset" w:sz="6" w:space="0" w:color="auto"/>
              <w:right w:val="outset" w:sz="6" w:space="0" w:color="auto"/>
            </w:tcBorders>
            <w:hideMark/>
          </w:tcPr>
          <w:p w14:paraId="26AF04F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Watanabe et al. 1998</w:t>
            </w:r>
          </w:p>
        </w:tc>
      </w:tr>
      <w:tr w:rsidR="00E56A40" w:rsidRPr="00E56A40" w14:paraId="13CED094"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0F3F4AC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flower</w:t>
            </w:r>
          </w:p>
        </w:tc>
        <w:tc>
          <w:tcPr>
            <w:tcW w:w="2205" w:type="dxa"/>
            <w:tcBorders>
              <w:top w:val="outset" w:sz="6" w:space="0" w:color="auto"/>
              <w:left w:val="outset" w:sz="6" w:space="0" w:color="auto"/>
              <w:bottom w:val="outset" w:sz="6" w:space="0" w:color="auto"/>
              <w:right w:val="outset" w:sz="6" w:space="0" w:color="auto"/>
            </w:tcBorders>
            <w:hideMark/>
          </w:tcPr>
          <w:p w14:paraId="0A238F4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 extract</w:t>
            </w:r>
          </w:p>
        </w:tc>
        <w:tc>
          <w:tcPr>
            <w:tcW w:w="2805" w:type="dxa"/>
            <w:tcBorders>
              <w:top w:val="outset" w:sz="6" w:space="0" w:color="auto"/>
              <w:left w:val="outset" w:sz="6" w:space="0" w:color="auto"/>
              <w:bottom w:val="outset" w:sz="6" w:space="0" w:color="auto"/>
              <w:right w:val="outset" w:sz="6" w:space="0" w:color="auto"/>
            </w:tcBorders>
            <w:hideMark/>
          </w:tcPr>
          <w:p w14:paraId="113D57D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745" w:type="dxa"/>
            <w:tcBorders>
              <w:top w:val="outset" w:sz="6" w:space="0" w:color="auto"/>
              <w:left w:val="outset" w:sz="6" w:space="0" w:color="auto"/>
              <w:bottom w:val="outset" w:sz="6" w:space="0" w:color="auto"/>
              <w:right w:val="outset" w:sz="6" w:space="0" w:color="auto"/>
            </w:tcBorders>
            <w:hideMark/>
          </w:tcPr>
          <w:p w14:paraId="7960796C"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hair growth-promotion activities: down-regulated TGF-beta1, up-regulated HGF and beta-catenin in human dermal papilla cells</w:t>
            </w:r>
          </w:p>
        </w:tc>
        <w:tc>
          <w:tcPr>
            <w:tcW w:w="1905" w:type="dxa"/>
            <w:tcBorders>
              <w:top w:val="outset" w:sz="6" w:space="0" w:color="auto"/>
              <w:left w:val="outset" w:sz="6" w:space="0" w:color="auto"/>
              <w:bottom w:val="outset" w:sz="6" w:space="0" w:color="auto"/>
              <w:right w:val="outset" w:sz="6" w:space="0" w:color="auto"/>
            </w:tcBorders>
            <w:hideMark/>
          </w:tcPr>
          <w:p w14:paraId="051F10A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Jeong et al. 2017</w:t>
            </w:r>
          </w:p>
        </w:tc>
      </w:tr>
      <w:tr w:rsidR="00E56A40" w:rsidRPr="00E56A40" w14:paraId="35E5AF8D"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0024858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all plants</w:t>
            </w:r>
          </w:p>
        </w:tc>
        <w:tc>
          <w:tcPr>
            <w:tcW w:w="2205" w:type="dxa"/>
            <w:tcBorders>
              <w:top w:val="outset" w:sz="6" w:space="0" w:color="auto"/>
              <w:left w:val="outset" w:sz="6" w:space="0" w:color="auto"/>
              <w:bottom w:val="outset" w:sz="6" w:space="0" w:color="auto"/>
              <w:right w:val="outset" w:sz="6" w:space="0" w:color="auto"/>
            </w:tcBorders>
            <w:hideMark/>
          </w:tcPr>
          <w:p w14:paraId="1424262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w:t>
            </w:r>
          </w:p>
        </w:tc>
        <w:tc>
          <w:tcPr>
            <w:tcW w:w="2805" w:type="dxa"/>
            <w:tcBorders>
              <w:top w:val="outset" w:sz="6" w:space="0" w:color="auto"/>
              <w:left w:val="outset" w:sz="6" w:space="0" w:color="auto"/>
              <w:bottom w:val="outset" w:sz="6" w:space="0" w:color="auto"/>
              <w:right w:val="outset" w:sz="6" w:space="0" w:color="auto"/>
            </w:tcBorders>
            <w:hideMark/>
          </w:tcPr>
          <w:p w14:paraId="49D854E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2745" w:type="dxa"/>
            <w:tcBorders>
              <w:top w:val="outset" w:sz="6" w:space="0" w:color="auto"/>
              <w:left w:val="outset" w:sz="6" w:space="0" w:color="auto"/>
              <w:bottom w:val="outset" w:sz="6" w:space="0" w:color="auto"/>
              <w:right w:val="outset" w:sz="6" w:space="0" w:color="auto"/>
            </w:tcBorders>
            <w:hideMark/>
          </w:tcPr>
          <w:p w14:paraId="0B3ED722"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phytoextraction of chlordecone from contaminated soils</w:t>
            </w:r>
          </w:p>
        </w:tc>
        <w:tc>
          <w:tcPr>
            <w:tcW w:w="1905" w:type="dxa"/>
            <w:tcBorders>
              <w:top w:val="outset" w:sz="6" w:space="0" w:color="auto"/>
              <w:left w:val="outset" w:sz="6" w:space="0" w:color="auto"/>
              <w:bottom w:val="outset" w:sz="6" w:space="0" w:color="auto"/>
              <w:right w:val="outset" w:sz="6" w:space="0" w:color="auto"/>
            </w:tcBorders>
            <w:hideMark/>
          </w:tcPr>
          <w:p w14:paraId="04CFE08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Liber et al. 2018</w:t>
            </w:r>
          </w:p>
        </w:tc>
      </w:tr>
      <w:tr w:rsidR="00E56A40" w:rsidRPr="00E56A40" w14:paraId="501878AE"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478C8E8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 stems and flowers</w:t>
            </w:r>
          </w:p>
        </w:tc>
        <w:tc>
          <w:tcPr>
            <w:tcW w:w="2205" w:type="dxa"/>
            <w:tcBorders>
              <w:top w:val="outset" w:sz="6" w:space="0" w:color="auto"/>
              <w:left w:val="outset" w:sz="6" w:space="0" w:color="auto"/>
              <w:bottom w:val="outset" w:sz="6" w:space="0" w:color="auto"/>
              <w:right w:val="outset" w:sz="6" w:space="0" w:color="auto"/>
            </w:tcBorders>
            <w:hideMark/>
          </w:tcPr>
          <w:p w14:paraId="76440CB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 extract</w:t>
            </w:r>
          </w:p>
        </w:tc>
        <w:tc>
          <w:tcPr>
            <w:tcW w:w="2805" w:type="dxa"/>
            <w:tcBorders>
              <w:top w:val="outset" w:sz="6" w:space="0" w:color="auto"/>
              <w:left w:val="outset" w:sz="6" w:space="0" w:color="auto"/>
              <w:bottom w:val="outset" w:sz="6" w:space="0" w:color="auto"/>
              <w:right w:val="outset" w:sz="6" w:space="0" w:color="auto"/>
            </w:tcBorders>
            <w:hideMark/>
          </w:tcPr>
          <w:p w14:paraId="2BA862C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cinnamates, hydroxycinnamates,</w:t>
            </w:r>
          </w:p>
          <w:p w14:paraId="75E2633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hydroxybenzoic acids</w:t>
            </w:r>
          </w:p>
        </w:tc>
        <w:tc>
          <w:tcPr>
            <w:tcW w:w="2745" w:type="dxa"/>
            <w:tcBorders>
              <w:top w:val="outset" w:sz="6" w:space="0" w:color="auto"/>
              <w:left w:val="outset" w:sz="6" w:space="0" w:color="auto"/>
              <w:bottom w:val="outset" w:sz="6" w:space="0" w:color="auto"/>
              <w:right w:val="outset" w:sz="6" w:space="0" w:color="auto"/>
            </w:tcBorders>
            <w:hideMark/>
          </w:tcPr>
          <w:p w14:paraId="0904A5D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905" w:type="dxa"/>
            <w:tcBorders>
              <w:top w:val="outset" w:sz="6" w:space="0" w:color="auto"/>
              <w:left w:val="outset" w:sz="6" w:space="0" w:color="auto"/>
              <w:bottom w:val="outset" w:sz="6" w:space="0" w:color="auto"/>
              <w:right w:val="outset" w:sz="6" w:space="0" w:color="auto"/>
            </w:tcBorders>
            <w:hideMark/>
          </w:tcPr>
          <w:p w14:paraId="125B354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Parveen et al. 2013</w:t>
            </w:r>
          </w:p>
        </w:tc>
      </w:tr>
      <w:tr w:rsidR="00E56A40" w:rsidRPr="00E56A40" w14:paraId="35760595"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55DA7D6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lignin</w:t>
            </w:r>
          </w:p>
        </w:tc>
        <w:tc>
          <w:tcPr>
            <w:tcW w:w="2205" w:type="dxa"/>
            <w:tcBorders>
              <w:top w:val="outset" w:sz="6" w:space="0" w:color="auto"/>
              <w:left w:val="outset" w:sz="6" w:space="0" w:color="auto"/>
              <w:bottom w:val="outset" w:sz="6" w:space="0" w:color="auto"/>
              <w:right w:val="outset" w:sz="6" w:space="0" w:color="auto"/>
            </w:tcBorders>
            <w:hideMark/>
          </w:tcPr>
          <w:p w14:paraId="3A09E296"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ethanol-water extracts form ammonia water/high temperature treatment</w:t>
            </w:r>
          </w:p>
        </w:tc>
        <w:tc>
          <w:tcPr>
            <w:tcW w:w="2805" w:type="dxa"/>
            <w:tcBorders>
              <w:top w:val="outset" w:sz="6" w:space="0" w:color="auto"/>
              <w:left w:val="outset" w:sz="6" w:space="0" w:color="auto"/>
              <w:bottom w:val="outset" w:sz="6" w:space="0" w:color="auto"/>
              <w:right w:val="outset" w:sz="6" w:space="0" w:color="auto"/>
            </w:tcBorders>
            <w:hideMark/>
          </w:tcPr>
          <w:p w14:paraId="28466C3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phenolic</w:t>
            </w:r>
          </w:p>
        </w:tc>
        <w:tc>
          <w:tcPr>
            <w:tcW w:w="2745" w:type="dxa"/>
            <w:tcBorders>
              <w:top w:val="outset" w:sz="6" w:space="0" w:color="auto"/>
              <w:left w:val="outset" w:sz="6" w:space="0" w:color="auto"/>
              <w:bottom w:val="outset" w:sz="6" w:space="0" w:color="auto"/>
              <w:right w:val="outset" w:sz="6" w:space="0" w:color="auto"/>
            </w:tcBorders>
            <w:hideMark/>
          </w:tcPr>
          <w:p w14:paraId="30B3082C"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antioxidant: radical-scavenging activity with DPPH, SOD-like activity</w:t>
            </w:r>
          </w:p>
        </w:tc>
        <w:tc>
          <w:tcPr>
            <w:tcW w:w="1905" w:type="dxa"/>
            <w:tcBorders>
              <w:top w:val="outset" w:sz="6" w:space="0" w:color="auto"/>
              <w:left w:val="outset" w:sz="6" w:space="0" w:color="auto"/>
              <w:bottom w:val="outset" w:sz="6" w:space="0" w:color="auto"/>
              <w:right w:val="outset" w:sz="6" w:space="0" w:color="auto"/>
            </w:tcBorders>
            <w:hideMark/>
          </w:tcPr>
          <w:p w14:paraId="5F4D59A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Kurakake et al. 2015</w:t>
            </w:r>
          </w:p>
        </w:tc>
      </w:tr>
    </w:tbl>
    <w:p w14:paraId="0BC106C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 no data</w:t>
      </w:r>
    </w:p>
    <w:p w14:paraId="072D345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6C3CDA3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p w14:paraId="758C8B87"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Xu, H. X., et al. (1993). "Inhibitory effect of the water extract of spikes of Miscanthus sinensis on IgE formation in mice." Planta Med 59(6): 529-532.</w:t>
      </w:r>
    </w:p>
    <w:p w14:paraId="2BD1BD8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Watanabe, C., et al. (1998). "Effect of spikelets of Miscanthus sinensis on IgE-mediated biphasic cutaneous reaction in mice." Planta Med 64(1): 12-17.</w:t>
      </w:r>
    </w:p>
    <w:p w14:paraId="28614EF2"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Jeong, G., et al. (2017). "Effect of Miscanthus sinensis var. purpurascens flower extract on proliferation and molecular regulation in human dermal papilla cells and stressed C57BL/6 mice." Chin J Integr Med.</w:t>
      </w:r>
    </w:p>
    <w:p w14:paraId="381E5E66"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Liber, Y., et al. (2018). "Growth parameters influencing uptake of chlordecone by Miscanthus species." Sci Total Environ 624: 831-837.</w:t>
      </w:r>
    </w:p>
    <w:p w14:paraId="001849A6"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Parveen I., et al. (2013). “Potential sources of high value chemicals from leaves, stems and flowers of Miscanthus sinensis 'Goliath' and Miscanthus sacchariflorus.” Phytochemistry 92:160-167.</w:t>
      </w:r>
    </w:p>
    <w:p w14:paraId="3ECE099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lang w:val="en-US" w:eastAsia="pl-PL"/>
        </w:rPr>
        <w:lastRenderedPageBreak/>
        <w:t xml:space="preserve">Kurakake M., et al. (2015). “Lignin antioxidants extracted from lignocellulosic biomasses by treatment with ammonia water.” </w:t>
      </w:r>
      <w:r w:rsidRPr="00E56A40">
        <w:rPr>
          <w:rFonts w:ascii="Times New Roman" w:eastAsia="Times New Roman" w:hAnsi="Times New Roman" w:cs="Times New Roman"/>
          <w:sz w:val="24"/>
          <w:szCs w:val="24"/>
          <w:lang w:eastAsia="pl-PL"/>
        </w:rPr>
        <w:t>Industrial Crops and Products 77: 1028-1032.</w:t>
      </w:r>
    </w:p>
    <w:p w14:paraId="0151FC9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4153BFB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Miscanthus sacchariflorus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9"/>
        <w:gridCol w:w="1932"/>
        <w:gridCol w:w="2426"/>
        <w:gridCol w:w="1966"/>
        <w:gridCol w:w="1483"/>
      </w:tblGrid>
      <w:tr w:rsidR="00E56A40" w:rsidRPr="00E56A40" w14:paraId="4D5314AF"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44EF86C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Source</w:t>
            </w:r>
          </w:p>
        </w:tc>
        <w:tc>
          <w:tcPr>
            <w:tcW w:w="2205" w:type="dxa"/>
            <w:tcBorders>
              <w:top w:val="outset" w:sz="6" w:space="0" w:color="auto"/>
              <w:left w:val="outset" w:sz="6" w:space="0" w:color="auto"/>
              <w:bottom w:val="outset" w:sz="6" w:space="0" w:color="auto"/>
              <w:right w:val="outset" w:sz="6" w:space="0" w:color="auto"/>
            </w:tcBorders>
            <w:hideMark/>
          </w:tcPr>
          <w:p w14:paraId="34138DA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Extraction methods/solvent</w:t>
            </w:r>
          </w:p>
        </w:tc>
        <w:tc>
          <w:tcPr>
            <w:tcW w:w="2805" w:type="dxa"/>
            <w:tcBorders>
              <w:top w:val="outset" w:sz="6" w:space="0" w:color="auto"/>
              <w:left w:val="outset" w:sz="6" w:space="0" w:color="auto"/>
              <w:bottom w:val="outset" w:sz="6" w:space="0" w:color="auto"/>
              <w:right w:val="outset" w:sz="6" w:space="0" w:color="auto"/>
            </w:tcBorders>
            <w:hideMark/>
          </w:tcPr>
          <w:p w14:paraId="6D2D894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Compound</w:t>
            </w:r>
          </w:p>
        </w:tc>
        <w:tc>
          <w:tcPr>
            <w:tcW w:w="2745" w:type="dxa"/>
            <w:tcBorders>
              <w:top w:val="outset" w:sz="6" w:space="0" w:color="auto"/>
              <w:left w:val="outset" w:sz="6" w:space="0" w:color="auto"/>
              <w:bottom w:val="outset" w:sz="6" w:space="0" w:color="auto"/>
              <w:right w:val="outset" w:sz="6" w:space="0" w:color="auto"/>
            </w:tcBorders>
            <w:hideMark/>
          </w:tcPr>
          <w:p w14:paraId="06F7FAD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Biological activity</w:t>
            </w:r>
          </w:p>
        </w:tc>
        <w:tc>
          <w:tcPr>
            <w:tcW w:w="1905" w:type="dxa"/>
            <w:tcBorders>
              <w:top w:val="outset" w:sz="6" w:space="0" w:color="auto"/>
              <w:left w:val="outset" w:sz="6" w:space="0" w:color="auto"/>
              <w:bottom w:val="outset" w:sz="6" w:space="0" w:color="auto"/>
              <w:right w:val="outset" w:sz="6" w:space="0" w:color="auto"/>
            </w:tcBorders>
            <w:hideMark/>
          </w:tcPr>
          <w:p w14:paraId="725F4E7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tc>
      </w:tr>
      <w:tr w:rsidR="00E56A40" w:rsidRPr="00E56A40" w14:paraId="4D35A401" w14:textId="77777777" w:rsidTr="00E56A40">
        <w:trPr>
          <w:tblCellSpacing w:w="0" w:type="dxa"/>
        </w:trPr>
        <w:tc>
          <w:tcPr>
            <w:tcW w:w="1665" w:type="dxa"/>
            <w:tcBorders>
              <w:top w:val="outset" w:sz="6" w:space="0" w:color="auto"/>
              <w:left w:val="outset" w:sz="6" w:space="0" w:color="auto"/>
              <w:bottom w:val="outset" w:sz="6" w:space="0" w:color="auto"/>
              <w:right w:val="outset" w:sz="6" w:space="0" w:color="auto"/>
            </w:tcBorders>
            <w:hideMark/>
          </w:tcPr>
          <w:p w14:paraId="074D606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 stems and flowers</w:t>
            </w:r>
          </w:p>
        </w:tc>
        <w:tc>
          <w:tcPr>
            <w:tcW w:w="2205" w:type="dxa"/>
            <w:tcBorders>
              <w:top w:val="outset" w:sz="6" w:space="0" w:color="auto"/>
              <w:left w:val="outset" w:sz="6" w:space="0" w:color="auto"/>
              <w:bottom w:val="outset" w:sz="6" w:space="0" w:color="auto"/>
              <w:right w:val="outset" w:sz="6" w:space="0" w:color="auto"/>
            </w:tcBorders>
            <w:hideMark/>
          </w:tcPr>
          <w:p w14:paraId="3E783FA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methanol extract</w:t>
            </w:r>
          </w:p>
        </w:tc>
        <w:tc>
          <w:tcPr>
            <w:tcW w:w="2805" w:type="dxa"/>
            <w:tcBorders>
              <w:top w:val="outset" w:sz="6" w:space="0" w:color="auto"/>
              <w:left w:val="outset" w:sz="6" w:space="0" w:color="auto"/>
              <w:bottom w:val="outset" w:sz="6" w:space="0" w:color="auto"/>
              <w:right w:val="outset" w:sz="6" w:space="0" w:color="auto"/>
            </w:tcBorders>
            <w:hideMark/>
          </w:tcPr>
          <w:p w14:paraId="262F13F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cinnamates, hydroxycinnamates,</w:t>
            </w:r>
          </w:p>
          <w:p w14:paraId="771E590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hydroxybenzoic acids</w:t>
            </w:r>
          </w:p>
        </w:tc>
        <w:tc>
          <w:tcPr>
            <w:tcW w:w="2745" w:type="dxa"/>
            <w:tcBorders>
              <w:top w:val="outset" w:sz="6" w:space="0" w:color="auto"/>
              <w:left w:val="outset" w:sz="6" w:space="0" w:color="auto"/>
              <w:bottom w:val="outset" w:sz="6" w:space="0" w:color="auto"/>
              <w:right w:val="outset" w:sz="6" w:space="0" w:color="auto"/>
            </w:tcBorders>
            <w:hideMark/>
          </w:tcPr>
          <w:p w14:paraId="6249468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905" w:type="dxa"/>
            <w:tcBorders>
              <w:top w:val="outset" w:sz="6" w:space="0" w:color="auto"/>
              <w:left w:val="outset" w:sz="6" w:space="0" w:color="auto"/>
              <w:bottom w:val="outset" w:sz="6" w:space="0" w:color="auto"/>
              <w:right w:val="outset" w:sz="6" w:space="0" w:color="auto"/>
            </w:tcBorders>
            <w:hideMark/>
          </w:tcPr>
          <w:p w14:paraId="302316F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Parveen et al. 2013</w:t>
            </w:r>
          </w:p>
        </w:tc>
      </w:tr>
    </w:tbl>
    <w:p w14:paraId="1DE187C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 no data</w:t>
      </w:r>
    </w:p>
    <w:p w14:paraId="7022360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6B7FA3D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p w14:paraId="1ABDBF0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lang w:val="en-US" w:eastAsia="pl-PL"/>
        </w:rPr>
        <w:t xml:space="preserve">Parveen I., et al. (2013). “Potential sources of high value chemicals from leaves, stems and flowers of Miscanthus sinensis 'Goliath' and Miscanthus sacchariflorus.” </w:t>
      </w:r>
      <w:r w:rsidRPr="00E56A40">
        <w:rPr>
          <w:rFonts w:ascii="Times New Roman" w:eastAsia="Times New Roman" w:hAnsi="Times New Roman" w:cs="Times New Roman"/>
          <w:sz w:val="24"/>
          <w:szCs w:val="24"/>
          <w:lang w:eastAsia="pl-PL"/>
        </w:rPr>
        <w:t>Phytochemistry 92:160-167.</w:t>
      </w:r>
    </w:p>
    <w:p w14:paraId="7C5671D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1B5A407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Helianthus tuberosus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9"/>
        <w:gridCol w:w="1845"/>
        <w:gridCol w:w="2324"/>
        <w:gridCol w:w="2144"/>
        <w:gridCol w:w="1484"/>
      </w:tblGrid>
      <w:tr w:rsidR="00E56A40" w:rsidRPr="00E56A40" w14:paraId="7D1F5923" w14:textId="77777777" w:rsidTr="00E56A40">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7066E1E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Source</w:t>
            </w:r>
          </w:p>
        </w:tc>
        <w:tc>
          <w:tcPr>
            <w:tcW w:w="1845" w:type="dxa"/>
            <w:tcBorders>
              <w:top w:val="outset" w:sz="6" w:space="0" w:color="auto"/>
              <w:left w:val="outset" w:sz="6" w:space="0" w:color="auto"/>
              <w:bottom w:val="outset" w:sz="6" w:space="0" w:color="auto"/>
              <w:right w:val="outset" w:sz="6" w:space="0" w:color="auto"/>
            </w:tcBorders>
            <w:hideMark/>
          </w:tcPr>
          <w:p w14:paraId="35F627C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Extraction methods/solvent</w:t>
            </w:r>
          </w:p>
        </w:tc>
        <w:tc>
          <w:tcPr>
            <w:tcW w:w="2325" w:type="dxa"/>
            <w:tcBorders>
              <w:top w:val="outset" w:sz="6" w:space="0" w:color="auto"/>
              <w:left w:val="outset" w:sz="6" w:space="0" w:color="auto"/>
              <w:bottom w:val="outset" w:sz="6" w:space="0" w:color="auto"/>
              <w:right w:val="outset" w:sz="6" w:space="0" w:color="auto"/>
            </w:tcBorders>
            <w:hideMark/>
          </w:tcPr>
          <w:p w14:paraId="3F5FC4E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Compound</w:t>
            </w:r>
          </w:p>
        </w:tc>
        <w:tc>
          <w:tcPr>
            <w:tcW w:w="2145" w:type="dxa"/>
            <w:tcBorders>
              <w:top w:val="outset" w:sz="6" w:space="0" w:color="auto"/>
              <w:left w:val="outset" w:sz="6" w:space="0" w:color="auto"/>
              <w:bottom w:val="outset" w:sz="6" w:space="0" w:color="auto"/>
              <w:right w:val="outset" w:sz="6" w:space="0" w:color="auto"/>
            </w:tcBorders>
            <w:hideMark/>
          </w:tcPr>
          <w:p w14:paraId="58115E5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Biological activity</w:t>
            </w:r>
          </w:p>
        </w:tc>
        <w:tc>
          <w:tcPr>
            <w:tcW w:w="1485" w:type="dxa"/>
            <w:tcBorders>
              <w:top w:val="outset" w:sz="6" w:space="0" w:color="auto"/>
              <w:left w:val="outset" w:sz="6" w:space="0" w:color="auto"/>
              <w:bottom w:val="outset" w:sz="6" w:space="0" w:color="auto"/>
              <w:right w:val="outset" w:sz="6" w:space="0" w:color="auto"/>
            </w:tcBorders>
            <w:hideMark/>
          </w:tcPr>
          <w:p w14:paraId="2D5DA8B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tc>
      </w:tr>
      <w:tr w:rsidR="00E56A40" w:rsidRPr="00E56A40" w14:paraId="45402AF5" w14:textId="77777777" w:rsidTr="00E56A40">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36AB84E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flowers</w:t>
            </w:r>
          </w:p>
        </w:tc>
        <w:tc>
          <w:tcPr>
            <w:tcW w:w="1845" w:type="dxa"/>
            <w:tcBorders>
              <w:top w:val="outset" w:sz="6" w:space="0" w:color="auto"/>
              <w:left w:val="outset" w:sz="6" w:space="0" w:color="auto"/>
              <w:bottom w:val="outset" w:sz="6" w:space="0" w:color="auto"/>
              <w:right w:val="outset" w:sz="6" w:space="0" w:color="auto"/>
            </w:tcBorders>
            <w:hideMark/>
          </w:tcPr>
          <w:p w14:paraId="6D1789F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hexane, methanol and ethanol extracts</w:t>
            </w:r>
          </w:p>
        </w:tc>
        <w:tc>
          <w:tcPr>
            <w:tcW w:w="2325" w:type="dxa"/>
            <w:tcBorders>
              <w:top w:val="outset" w:sz="6" w:space="0" w:color="auto"/>
              <w:left w:val="outset" w:sz="6" w:space="0" w:color="auto"/>
              <w:bottom w:val="outset" w:sz="6" w:space="0" w:color="auto"/>
              <w:right w:val="outset" w:sz="6" w:space="0" w:color="auto"/>
            </w:tcBorders>
            <w:hideMark/>
          </w:tcPr>
          <w:p w14:paraId="3B15552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terpenoids (monoterpenoid, kaurane diterpenoids and triterpenoids), coumarins, flavonoids and chromone derivative</w:t>
            </w:r>
          </w:p>
        </w:tc>
        <w:tc>
          <w:tcPr>
            <w:tcW w:w="2145" w:type="dxa"/>
            <w:tcBorders>
              <w:top w:val="outset" w:sz="6" w:space="0" w:color="auto"/>
              <w:left w:val="outset" w:sz="6" w:space="0" w:color="auto"/>
              <w:bottom w:val="outset" w:sz="6" w:space="0" w:color="auto"/>
              <w:right w:val="outset" w:sz="6" w:space="0" w:color="auto"/>
            </w:tcBorders>
            <w:hideMark/>
          </w:tcPr>
          <w:p w14:paraId="3C6F78A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antiproliferative activity (against two colon cancer cell lines HT29 and HCT116)</w:t>
            </w:r>
          </w:p>
          <w:p w14:paraId="1B756CB3"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cytotoxicity</w:t>
            </w:r>
          </w:p>
          <w:p w14:paraId="02D7DF6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antimicrobial activity (against </w:t>
            </w:r>
            <w:r w:rsidRPr="00FF4196">
              <w:rPr>
                <w:rFonts w:ascii="Times New Roman" w:eastAsia="Times New Roman" w:hAnsi="Times New Roman" w:cs="Times New Roman"/>
                <w:i/>
                <w:iCs/>
                <w:sz w:val="24"/>
                <w:szCs w:val="24"/>
                <w:lang w:val="en-US" w:eastAsia="pl-PL"/>
              </w:rPr>
              <w:t>E. faecium</w:t>
            </w:r>
            <w:r w:rsidRPr="00FF4196">
              <w:rPr>
                <w:rFonts w:ascii="Times New Roman" w:eastAsia="Times New Roman" w:hAnsi="Times New Roman" w:cs="Times New Roman"/>
                <w:sz w:val="24"/>
                <w:szCs w:val="24"/>
                <w:lang w:val="en-US" w:eastAsia="pl-PL"/>
              </w:rPr>
              <w:t xml:space="preserve">, </w:t>
            </w:r>
            <w:r w:rsidRPr="00FF4196">
              <w:rPr>
                <w:rFonts w:ascii="Times New Roman" w:eastAsia="Times New Roman" w:hAnsi="Times New Roman" w:cs="Times New Roman"/>
                <w:i/>
                <w:iCs/>
                <w:sz w:val="24"/>
                <w:szCs w:val="24"/>
                <w:lang w:val="en-US" w:eastAsia="pl-PL"/>
              </w:rPr>
              <w:t>P. aeruginosa</w:t>
            </w:r>
            <w:r w:rsidRPr="00FF4196">
              <w:rPr>
                <w:rFonts w:ascii="Times New Roman" w:eastAsia="Times New Roman" w:hAnsi="Times New Roman" w:cs="Times New Roman"/>
                <w:sz w:val="24"/>
                <w:szCs w:val="24"/>
                <w:lang w:val="en-US" w:eastAsia="pl-PL"/>
              </w:rPr>
              <w:t xml:space="preserve">, </w:t>
            </w:r>
            <w:r w:rsidRPr="00FF4196">
              <w:rPr>
                <w:rFonts w:ascii="Times New Roman" w:eastAsia="Times New Roman" w:hAnsi="Times New Roman" w:cs="Times New Roman"/>
                <w:i/>
                <w:iCs/>
                <w:sz w:val="24"/>
                <w:szCs w:val="24"/>
                <w:lang w:val="en-US" w:eastAsia="pl-PL"/>
              </w:rPr>
              <w:t>A. baumannii</w:t>
            </w:r>
            <w:r w:rsidRPr="00FF4196">
              <w:rPr>
                <w:rFonts w:ascii="Times New Roman" w:eastAsia="Times New Roman" w:hAnsi="Times New Roman" w:cs="Times New Roman"/>
                <w:sz w:val="24"/>
                <w:szCs w:val="24"/>
                <w:lang w:val="en-US" w:eastAsia="pl-PL"/>
              </w:rPr>
              <w:t xml:space="preserve"> and </w:t>
            </w:r>
            <w:r w:rsidRPr="00FF4196">
              <w:rPr>
                <w:rFonts w:ascii="Times New Roman" w:eastAsia="Times New Roman" w:hAnsi="Times New Roman" w:cs="Times New Roman"/>
                <w:i/>
                <w:iCs/>
                <w:sz w:val="24"/>
                <w:szCs w:val="24"/>
                <w:lang w:val="en-US" w:eastAsia="pl-PL"/>
              </w:rPr>
              <w:t>K. pneumoniae)</w:t>
            </w:r>
          </w:p>
        </w:tc>
        <w:tc>
          <w:tcPr>
            <w:tcW w:w="1485" w:type="dxa"/>
            <w:tcBorders>
              <w:top w:val="outset" w:sz="6" w:space="0" w:color="auto"/>
              <w:left w:val="outset" w:sz="6" w:space="0" w:color="auto"/>
              <w:bottom w:val="outset" w:sz="6" w:space="0" w:color="auto"/>
              <w:right w:val="outset" w:sz="6" w:space="0" w:color="auto"/>
            </w:tcBorders>
            <w:hideMark/>
          </w:tcPr>
          <w:p w14:paraId="2EA32E9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Jantaharn et al. 2018</w:t>
            </w:r>
          </w:p>
        </w:tc>
      </w:tr>
      <w:tr w:rsidR="00E56A40" w:rsidRPr="00E56A40" w14:paraId="7EAD13AE" w14:textId="77777777" w:rsidTr="00E56A40">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49BCD56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w:t>
            </w:r>
          </w:p>
        </w:tc>
        <w:tc>
          <w:tcPr>
            <w:tcW w:w="1845" w:type="dxa"/>
            <w:tcBorders>
              <w:top w:val="outset" w:sz="6" w:space="0" w:color="auto"/>
              <w:left w:val="outset" w:sz="6" w:space="0" w:color="auto"/>
              <w:bottom w:val="outset" w:sz="6" w:space="0" w:color="auto"/>
              <w:right w:val="outset" w:sz="6" w:space="0" w:color="auto"/>
            </w:tcBorders>
            <w:hideMark/>
          </w:tcPr>
          <w:p w14:paraId="6C5335B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ethyl acetate extract</w:t>
            </w:r>
          </w:p>
        </w:tc>
        <w:tc>
          <w:tcPr>
            <w:tcW w:w="2325" w:type="dxa"/>
            <w:tcBorders>
              <w:top w:val="outset" w:sz="6" w:space="0" w:color="auto"/>
              <w:left w:val="outset" w:sz="6" w:space="0" w:color="auto"/>
              <w:bottom w:val="outset" w:sz="6" w:space="0" w:color="auto"/>
              <w:right w:val="outset" w:sz="6" w:space="0" w:color="auto"/>
            </w:tcBorders>
            <w:hideMark/>
          </w:tcPr>
          <w:p w14:paraId="4F41A0C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sesquiterpene lactones, flavones</w:t>
            </w:r>
          </w:p>
        </w:tc>
        <w:tc>
          <w:tcPr>
            <w:tcW w:w="2145" w:type="dxa"/>
            <w:tcBorders>
              <w:top w:val="outset" w:sz="6" w:space="0" w:color="auto"/>
              <w:left w:val="outset" w:sz="6" w:space="0" w:color="auto"/>
              <w:bottom w:val="outset" w:sz="6" w:space="0" w:color="auto"/>
              <w:right w:val="outset" w:sz="6" w:space="0" w:color="auto"/>
            </w:tcBorders>
            <w:hideMark/>
          </w:tcPr>
          <w:p w14:paraId="23C0C0C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cytotoxic</w:t>
            </w:r>
          </w:p>
        </w:tc>
        <w:tc>
          <w:tcPr>
            <w:tcW w:w="1485" w:type="dxa"/>
            <w:tcBorders>
              <w:top w:val="outset" w:sz="6" w:space="0" w:color="auto"/>
              <w:left w:val="outset" w:sz="6" w:space="0" w:color="auto"/>
              <w:bottom w:val="outset" w:sz="6" w:space="0" w:color="auto"/>
              <w:right w:val="outset" w:sz="6" w:space="0" w:color="auto"/>
            </w:tcBorders>
            <w:hideMark/>
          </w:tcPr>
          <w:p w14:paraId="34B0D37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Yuan et al. 2013</w:t>
            </w:r>
          </w:p>
        </w:tc>
      </w:tr>
      <w:tr w:rsidR="00E56A40" w:rsidRPr="00E56A40" w14:paraId="76380727" w14:textId="77777777" w:rsidTr="00E56A40">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50D8F4C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w:t>
            </w:r>
          </w:p>
        </w:tc>
        <w:tc>
          <w:tcPr>
            <w:tcW w:w="1845" w:type="dxa"/>
            <w:tcBorders>
              <w:top w:val="outset" w:sz="6" w:space="0" w:color="auto"/>
              <w:left w:val="outset" w:sz="6" w:space="0" w:color="auto"/>
              <w:bottom w:val="outset" w:sz="6" w:space="0" w:color="auto"/>
              <w:right w:val="outset" w:sz="6" w:space="0" w:color="auto"/>
            </w:tcBorders>
            <w:hideMark/>
          </w:tcPr>
          <w:p w14:paraId="2E33EFE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ethanol extract or n-butanol fraction</w:t>
            </w:r>
          </w:p>
        </w:tc>
        <w:tc>
          <w:tcPr>
            <w:tcW w:w="2325" w:type="dxa"/>
            <w:tcBorders>
              <w:top w:val="outset" w:sz="6" w:space="0" w:color="auto"/>
              <w:left w:val="outset" w:sz="6" w:space="0" w:color="auto"/>
              <w:bottom w:val="outset" w:sz="6" w:space="0" w:color="auto"/>
              <w:right w:val="outset" w:sz="6" w:space="0" w:color="auto"/>
            </w:tcBorders>
            <w:hideMark/>
          </w:tcPr>
          <w:p w14:paraId="1986664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phenolic acids (caffeic acid, 3,4-dicaffeoylquinic acid </w:t>
            </w:r>
            <w:r w:rsidRPr="00FF4196">
              <w:rPr>
                <w:rFonts w:ascii="Times New Roman" w:eastAsia="Times New Roman" w:hAnsi="Times New Roman" w:cs="Times New Roman"/>
                <w:sz w:val="24"/>
                <w:szCs w:val="24"/>
                <w:lang w:val="en-US" w:eastAsia="pl-PL"/>
              </w:rPr>
              <w:lastRenderedPageBreak/>
              <w:t>and 1,5-dicaffeoylquinic acid)</w:t>
            </w:r>
          </w:p>
        </w:tc>
        <w:tc>
          <w:tcPr>
            <w:tcW w:w="2145" w:type="dxa"/>
            <w:tcBorders>
              <w:top w:val="outset" w:sz="6" w:space="0" w:color="auto"/>
              <w:left w:val="outset" w:sz="6" w:space="0" w:color="auto"/>
              <w:bottom w:val="outset" w:sz="6" w:space="0" w:color="auto"/>
              <w:right w:val="outset" w:sz="6" w:space="0" w:color="auto"/>
            </w:tcBorders>
            <w:hideMark/>
          </w:tcPr>
          <w:p w14:paraId="540F707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antifungal</w:t>
            </w:r>
          </w:p>
        </w:tc>
        <w:tc>
          <w:tcPr>
            <w:tcW w:w="1485" w:type="dxa"/>
            <w:tcBorders>
              <w:top w:val="outset" w:sz="6" w:space="0" w:color="auto"/>
              <w:left w:val="outset" w:sz="6" w:space="0" w:color="auto"/>
              <w:bottom w:val="outset" w:sz="6" w:space="0" w:color="auto"/>
              <w:right w:val="outset" w:sz="6" w:space="0" w:color="auto"/>
            </w:tcBorders>
            <w:hideMark/>
          </w:tcPr>
          <w:p w14:paraId="6F5A4C8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Chen at al. 2013</w:t>
            </w:r>
          </w:p>
        </w:tc>
      </w:tr>
      <w:tr w:rsidR="00E56A40" w:rsidRPr="00E56A40" w14:paraId="480C73FD" w14:textId="77777777" w:rsidTr="00E56A40">
        <w:trPr>
          <w:tblCellSpacing w:w="0" w:type="dxa"/>
        </w:trPr>
        <w:tc>
          <w:tcPr>
            <w:tcW w:w="1260" w:type="dxa"/>
            <w:tcBorders>
              <w:top w:val="outset" w:sz="6" w:space="0" w:color="auto"/>
              <w:left w:val="outset" w:sz="6" w:space="0" w:color="auto"/>
              <w:bottom w:val="outset" w:sz="6" w:space="0" w:color="auto"/>
              <w:right w:val="outset" w:sz="6" w:space="0" w:color="auto"/>
            </w:tcBorders>
            <w:hideMark/>
          </w:tcPr>
          <w:p w14:paraId="5E77511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w:t>
            </w:r>
          </w:p>
        </w:tc>
        <w:tc>
          <w:tcPr>
            <w:tcW w:w="1845" w:type="dxa"/>
            <w:tcBorders>
              <w:top w:val="outset" w:sz="6" w:space="0" w:color="auto"/>
              <w:left w:val="outset" w:sz="6" w:space="0" w:color="auto"/>
              <w:bottom w:val="outset" w:sz="6" w:space="0" w:color="auto"/>
              <w:right w:val="outset" w:sz="6" w:space="0" w:color="auto"/>
            </w:tcBorders>
            <w:hideMark/>
          </w:tcPr>
          <w:p w14:paraId="226EA4D1"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ethyl acetate  fraction from ethanol extract</w:t>
            </w:r>
          </w:p>
        </w:tc>
        <w:tc>
          <w:tcPr>
            <w:tcW w:w="2325" w:type="dxa"/>
            <w:tcBorders>
              <w:top w:val="outset" w:sz="6" w:space="0" w:color="auto"/>
              <w:left w:val="outset" w:sz="6" w:space="0" w:color="auto"/>
              <w:bottom w:val="outset" w:sz="6" w:space="0" w:color="auto"/>
              <w:right w:val="outset" w:sz="6" w:space="0" w:color="auto"/>
            </w:tcBorders>
            <w:hideMark/>
          </w:tcPr>
          <w:p w14:paraId="09B5A804"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total phenolics  content: 266.69 ± 2.51 mg GAE/g  dried sample</w:t>
            </w:r>
          </w:p>
          <w:p w14:paraId="18FB5CE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DPPH: SC</w:t>
            </w:r>
            <w:r w:rsidRPr="00FF4196">
              <w:rPr>
                <w:rFonts w:ascii="Times New Roman" w:eastAsia="Times New Roman" w:hAnsi="Times New Roman" w:cs="Times New Roman"/>
                <w:sz w:val="24"/>
                <w:szCs w:val="24"/>
                <w:vertAlign w:val="subscript"/>
                <w:lang w:val="en-US" w:eastAsia="pl-PL"/>
              </w:rPr>
              <w:t>50</w:t>
            </w:r>
            <w:r w:rsidRPr="00FF4196">
              <w:rPr>
                <w:rFonts w:ascii="Times New Roman" w:eastAsia="Times New Roman" w:hAnsi="Times New Roman" w:cs="Times New Roman"/>
                <w:sz w:val="24"/>
                <w:szCs w:val="24"/>
                <w:lang w:val="en-US" w:eastAsia="pl-PL"/>
              </w:rPr>
              <w:t xml:space="preserve"> =11.01 ± 1.43  </w:t>
            </w:r>
            <w:r w:rsidRPr="00E56A40">
              <w:rPr>
                <w:rFonts w:ascii="Times New Roman" w:eastAsia="Times New Roman" w:hAnsi="Times New Roman" w:cs="Times New Roman"/>
                <w:sz w:val="24"/>
                <w:szCs w:val="24"/>
                <w:lang w:eastAsia="pl-PL"/>
              </w:rPr>
              <w:t>μ</w:t>
            </w:r>
            <w:r w:rsidRPr="00FF4196">
              <w:rPr>
                <w:rFonts w:ascii="Times New Roman" w:eastAsia="Times New Roman" w:hAnsi="Times New Roman" w:cs="Times New Roman"/>
                <w:sz w:val="24"/>
                <w:szCs w:val="24"/>
                <w:lang w:val="en-US" w:eastAsia="pl-PL"/>
              </w:rPr>
              <w:t>g/ml</w:t>
            </w:r>
          </w:p>
          <w:p w14:paraId="7E26B26C"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ABTS</w:t>
            </w:r>
            <w:r w:rsidRPr="00FF4196">
              <w:rPr>
                <w:rFonts w:ascii="Times New Roman" w:eastAsia="Times New Roman" w:hAnsi="Times New Roman" w:cs="Times New Roman"/>
                <w:sz w:val="24"/>
                <w:szCs w:val="24"/>
                <w:vertAlign w:val="superscript"/>
                <w:lang w:val="en-US" w:eastAsia="pl-PL"/>
              </w:rPr>
              <w:t>+</w:t>
            </w:r>
            <w:r w:rsidRPr="00FF4196">
              <w:rPr>
                <w:rFonts w:ascii="Times New Roman" w:eastAsia="Times New Roman" w:hAnsi="Times New Roman" w:cs="Times New Roman"/>
                <w:sz w:val="24"/>
                <w:szCs w:val="24"/>
                <w:lang w:val="en-US" w:eastAsia="pl-PL"/>
              </w:rPr>
              <w:t>: 2.54 ± 0.09  </w:t>
            </w:r>
            <w:r w:rsidRPr="00E56A40">
              <w:rPr>
                <w:rFonts w:ascii="Times New Roman" w:eastAsia="Times New Roman" w:hAnsi="Times New Roman" w:cs="Times New Roman"/>
                <w:sz w:val="24"/>
                <w:szCs w:val="24"/>
                <w:lang w:eastAsia="pl-PL"/>
              </w:rPr>
              <w:t>μ</w:t>
            </w:r>
            <w:r w:rsidRPr="00FF4196">
              <w:rPr>
                <w:rFonts w:ascii="Times New Roman" w:eastAsia="Times New Roman" w:hAnsi="Times New Roman" w:cs="Times New Roman"/>
                <w:sz w:val="24"/>
                <w:szCs w:val="24"/>
                <w:lang w:val="en-US" w:eastAsia="pl-PL"/>
              </w:rPr>
              <w:t>g/ml</w:t>
            </w:r>
          </w:p>
        </w:tc>
        <w:tc>
          <w:tcPr>
            <w:tcW w:w="2145" w:type="dxa"/>
            <w:tcBorders>
              <w:top w:val="outset" w:sz="6" w:space="0" w:color="auto"/>
              <w:left w:val="outset" w:sz="6" w:space="0" w:color="auto"/>
              <w:bottom w:val="outset" w:sz="6" w:space="0" w:color="auto"/>
              <w:right w:val="outset" w:sz="6" w:space="0" w:color="auto"/>
            </w:tcBorders>
            <w:hideMark/>
          </w:tcPr>
          <w:p w14:paraId="2D97CA2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nd</w:t>
            </w:r>
          </w:p>
        </w:tc>
        <w:tc>
          <w:tcPr>
            <w:tcW w:w="1485" w:type="dxa"/>
            <w:tcBorders>
              <w:top w:val="outset" w:sz="6" w:space="0" w:color="auto"/>
              <w:left w:val="outset" w:sz="6" w:space="0" w:color="auto"/>
              <w:bottom w:val="outset" w:sz="6" w:space="0" w:color="auto"/>
              <w:right w:val="outset" w:sz="6" w:space="0" w:color="auto"/>
            </w:tcBorders>
            <w:hideMark/>
          </w:tcPr>
          <w:p w14:paraId="333309D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Yuan et al. 2012</w:t>
            </w:r>
          </w:p>
        </w:tc>
      </w:tr>
    </w:tbl>
    <w:p w14:paraId="20CA7B5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nd- no data</w:t>
      </w:r>
    </w:p>
    <w:p w14:paraId="12E9941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25E2082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p w14:paraId="6B5F6794"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Jantaharn P., Mongkolthanaruk W., Senawong T., Jogloy S., McCloskey S., 2018. Bioactive compounds from organic extracts of Helianthus tuberosus L. flowers. Industrial Crops and Products 119, 57-63. https://doi.org/10.1016/j.indcrop.2018.03.060</w:t>
      </w:r>
    </w:p>
    <w:p w14:paraId="4615876F"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Yuan X., Cheng M., Gao M., Zhuo R., Zhang L., Xiao H., 2013. Cytotoxic constituents from the leaves of Jerusalem artichoke (Helianthus tuberosus L.) and their structure–activity relationships.  Phytochemistry Letters 6, 21-25. https://doi.org/10.1016/j.phytol.2012.10.007</w:t>
      </w:r>
    </w:p>
    <w:p w14:paraId="42F9921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Chen F., Long X., Yu M., Liu Z., Liu L., Shao H., 2013. Phenolics and antifungal activities analysis in industrial crop Jerusalem artichoke (Helianthus tuberosus L.) leaves. Industrial Crops and Products 47, 339-345. https://doi.org/10.1016/j.indcrop.2013.03.027</w:t>
      </w:r>
    </w:p>
    <w:p w14:paraId="7B66D50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lang w:val="en-US" w:eastAsia="pl-PL"/>
        </w:rPr>
        <w:t xml:space="preserve">Yuan X., Gao M., Xiao H., Tan Ch., Du Y., 2012. Free radical scavenging activities and bioactive substances of Jerusalem artichoke (Helianthus tuberosus L.) leaves. </w:t>
      </w:r>
      <w:r w:rsidRPr="00E56A40">
        <w:rPr>
          <w:rFonts w:ascii="Times New Roman" w:eastAsia="Times New Roman" w:hAnsi="Times New Roman" w:cs="Times New Roman"/>
          <w:sz w:val="24"/>
          <w:szCs w:val="24"/>
          <w:lang w:eastAsia="pl-PL"/>
        </w:rPr>
        <w:t>Food Chemistry 133,  10-14. https://doi.org/10.1016/j.foodchem.2011.09.071</w:t>
      </w:r>
    </w:p>
    <w:p w14:paraId="330812E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57C96D1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b/>
          <w:bCs/>
          <w:i/>
          <w:iCs/>
          <w:sz w:val="24"/>
          <w:szCs w:val="24"/>
          <w:lang w:eastAsia="pl-PL"/>
        </w:rPr>
        <w:t>Silphium perfoliatum</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96"/>
        <w:gridCol w:w="1189"/>
        <w:gridCol w:w="2087"/>
        <w:gridCol w:w="2342"/>
        <w:gridCol w:w="1042"/>
      </w:tblGrid>
      <w:tr w:rsidR="00E56A40" w:rsidRPr="00E56A40" w14:paraId="00F3A1E7" w14:textId="77777777" w:rsidTr="00E56A40">
        <w:trPr>
          <w:tblCellSpacing w:w="0" w:type="dxa"/>
        </w:trPr>
        <w:tc>
          <w:tcPr>
            <w:tcW w:w="1650" w:type="dxa"/>
            <w:tcBorders>
              <w:top w:val="outset" w:sz="6" w:space="0" w:color="auto"/>
              <w:left w:val="outset" w:sz="6" w:space="0" w:color="auto"/>
              <w:bottom w:val="outset" w:sz="6" w:space="0" w:color="auto"/>
              <w:right w:val="outset" w:sz="6" w:space="0" w:color="auto"/>
            </w:tcBorders>
            <w:hideMark/>
          </w:tcPr>
          <w:p w14:paraId="656B41B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Source</w:t>
            </w:r>
          </w:p>
        </w:tc>
        <w:tc>
          <w:tcPr>
            <w:tcW w:w="1815" w:type="dxa"/>
            <w:tcBorders>
              <w:top w:val="outset" w:sz="6" w:space="0" w:color="auto"/>
              <w:left w:val="outset" w:sz="6" w:space="0" w:color="auto"/>
              <w:bottom w:val="outset" w:sz="6" w:space="0" w:color="auto"/>
              <w:right w:val="outset" w:sz="6" w:space="0" w:color="auto"/>
            </w:tcBorders>
            <w:hideMark/>
          </w:tcPr>
          <w:p w14:paraId="5EC5811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Extraction methods/solvent</w:t>
            </w:r>
          </w:p>
        </w:tc>
        <w:tc>
          <w:tcPr>
            <w:tcW w:w="2220" w:type="dxa"/>
            <w:tcBorders>
              <w:top w:val="outset" w:sz="6" w:space="0" w:color="auto"/>
              <w:left w:val="outset" w:sz="6" w:space="0" w:color="auto"/>
              <w:bottom w:val="outset" w:sz="6" w:space="0" w:color="auto"/>
              <w:right w:val="outset" w:sz="6" w:space="0" w:color="auto"/>
            </w:tcBorders>
            <w:hideMark/>
          </w:tcPr>
          <w:p w14:paraId="59F7421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Compound</w:t>
            </w:r>
          </w:p>
        </w:tc>
        <w:tc>
          <w:tcPr>
            <w:tcW w:w="2010" w:type="dxa"/>
            <w:tcBorders>
              <w:top w:val="outset" w:sz="6" w:space="0" w:color="auto"/>
              <w:left w:val="outset" w:sz="6" w:space="0" w:color="auto"/>
              <w:bottom w:val="outset" w:sz="6" w:space="0" w:color="auto"/>
              <w:right w:val="outset" w:sz="6" w:space="0" w:color="auto"/>
            </w:tcBorders>
            <w:hideMark/>
          </w:tcPr>
          <w:p w14:paraId="7DAFAFF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Biological activity</w:t>
            </w:r>
          </w:p>
        </w:tc>
        <w:tc>
          <w:tcPr>
            <w:tcW w:w="1590" w:type="dxa"/>
            <w:tcBorders>
              <w:top w:val="outset" w:sz="6" w:space="0" w:color="auto"/>
              <w:left w:val="outset" w:sz="6" w:space="0" w:color="auto"/>
              <w:bottom w:val="outset" w:sz="6" w:space="0" w:color="auto"/>
              <w:right w:val="outset" w:sz="6" w:space="0" w:color="auto"/>
            </w:tcBorders>
            <w:hideMark/>
          </w:tcPr>
          <w:p w14:paraId="57FF873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tc>
      </w:tr>
      <w:tr w:rsidR="00E56A40" w:rsidRPr="00E56A40" w14:paraId="18F1C1C5" w14:textId="77777777" w:rsidTr="00E56A40">
        <w:trPr>
          <w:tblCellSpacing w:w="0" w:type="dxa"/>
        </w:trPr>
        <w:tc>
          <w:tcPr>
            <w:tcW w:w="1650" w:type="dxa"/>
            <w:tcBorders>
              <w:top w:val="outset" w:sz="6" w:space="0" w:color="auto"/>
              <w:left w:val="outset" w:sz="6" w:space="0" w:color="auto"/>
              <w:bottom w:val="outset" w:sz="6" w:space="0" w:color="auto"/>
              <w:right w:val="outset" w:sz="6" w:space="0" w:color="auto"/>
            </w:tcBorders>
            <w:hideMark/>
          </w:tcPr>
          <w:p w14:paraId="1D96C8A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w:t>
            </w:r>
          </w:p>
        </w:tc>
        <w:tc>
          <w:tcPr>
            <w:tcW w:w="1815" w:type="dxa"/>
            <w:tcBorders>
              <w:top w:val="outset" w:sz="6" w:space="0" w:color="auto"/>
              <w:left w:val="outset" w:sz="6" w:space="0" w:color="auto"/>
              <w:bottom w:val="outset" w:sz="6" w:space="0" w:color="auto"/>
              <w:right w:val="outset" w:sz="6" w:space="0" w:color="auto"/>
            </w:tcBorders>
            <w:hideMark/>
          </w:tcPr>
          <w:p w14:paraId="3C9B745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ethanol extract</w:t>
            </w:r>
          </w:p>
        </w:tc>
        <w:tc>
          <w:tcPr>
            <w:tcW w:w="2220" w:type="dxa"/>
            <w:tcBorders>
              <w:top w:val="outset" w:sz="6" w:space="0" w:color="auto"/>
              <w:left w:val="outset" w:sz="6" w:space="0" w:color="auto"/>
              <w:bottom w:val="outset" w:sz="6" w:space="0" w:color="auto"/>
              <w:right w:val="outset" w:sz="6" w:space="0" w:color="auto"/>
            </w:tcBorders>
            <w:hideMark/>
          </w:tcPr>
          <w:p w14:paraId="32CA5D19"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flavonoids (7.40 ± 0.21 mg QE/ml)</w:t>
            </w:r>
          </w:p>
          <w:p w14:paraId="18624813"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phenolic acids (28.04 ± 0.75 mg caffeic acid/ml)</w:t>
            </w:r>
          </w:p>
          <w:p w14:paraId="0D73B907"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lastRenderedPageBreak/>
              <w:t>oleanolic acid (18.18 ± 0.80 mg caffeic acid /ml)</w:t>
            </w:r>
          </w:p>
          <w:p w14:paraId="2B8DF6E5"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ursolic acid (16.60 ± 0.63 mg caffeic acid /ml)</w:t>
            </w:r>
          </w:p>
        </w:tc>
        <w:tc>
          <w:tcPr>
            <w:tcW w:w="2010" w:type="dxa"/>
            <w:tcBorders>
              <w:top w:val="outset" w:sz="6" w:space="0" w:color="auto"/>
              <w:left w:val="outset" w:sz="6" w:space="0" w:color="auto"/>
              <w:bottom w:val="outset" w:sz="6" w:space="0" w:color="auto"/>
              <w:right w:val="outset" w:sz="6" w:space="0" w:color="auto"/>
            </w:tcBorders>
            <w:hideMark/>
          </w:tcPr>
          <w:p w14:paraId="00456F4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antifungal</w:t>
            </w:r>
          </w:p>
        </w:tc>
        <w:tc>
          <w:tcPr>
            <w:tcW w:w="1590" w:type="dxa"/>
            <w:tcBorders>
              <w:top w:val="outset" w:sz="6" w:space="0" w:color="auto"/>
              <w:left w:val="outset" w:sz="6" w:space="0" w:color="auto"/>
              <w:bottom w:val="outset" w:sz="6" w:space="0" w:color="auto"/>
              <w:right w:val="outset" w:sz="6" w:space="0" w:color="auto"/>
            </w:tcBorders>
            <w:hideMark/>
          </w:tcPr>
          <w:p w14:paraId="02C9F61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Jamiołkowska &amp; Kowalski 2012</w:t>
            </w:r>
          </w:p>
        </w:tc>
      </w:tr>
      <w:tr w:rsidR="00E56A40" w:rsidRPr="00E56A40" w14:paraId="705E23A9" w14:textId="77777777" w:rsidTr="00E56A40">
        <w:trPr>
          <w:tblCellSpacing w:w="0" w:type="dxa"/>
        </w:trPr>
        <w:tc>
          <w:tcPr>
            <w:tcW w:w="1650" w:type="dxa"/>
            <w:tcBorders>
              <w:top w:val="outset" w:sz="6" w:space="0" w:color="auto"/>
              <w:left w:val="outset" w:sz="6" w:space="0" w:color="auto"/>
              <w:bottom w:val="outset" w:sz="6" w:space="0" w:color="auto"/>
              <w:right w:val="outset" w:sz="6" w:space="0" w:color="auto"/>
            </w:tcBorders>
            <w:hideMark/>
          </w:tcPr>
          <w:p w14:paraId="0DA3716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leaves,  inflorescences,  rhizomes</w:t>
            </w:r>
          </w:p>
        </w:tc>
        <w:tc>
          <w:tcPr>
            <w:tcW w:w="1815" w:type="dxa"/>
            <w:tcBorders>
              <w:top w:val="outset" w:sz="6" w:space="0" w:color="auto"/>
              <w:left w:val="outset" w:sz="6" w:space="0" w:color="auto"/>
              <w:bottom w:val="outset" w:sz="6" w:space="0" w:color="auto"/>
              <w:right w:val="outset" w:sz="6" w:space="0" w:color="auto"/>
            </w:tcBorders>
            <w:hideMark/>
          </w:tcPr>
          <w:p w14:paraId="5241737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hexane and methanol (1:10) extract</w:t>
            </w:r>
          </w:p>
        </w:tc>
        <w:tc>
          <w:tcPr>
            <w:tcW w:w="2220" w:type="dxa"/>
            <w:tcBorders>
              <w:top w:val="outset" w:sz="6" w:space="0" w:color="auto"/>
              <w:left w:val="outset" w:sz="6" w:space="0" w:color="auto"/>
              <w:bottom w:val="outset" w:sz="6" w:space="0" w:color="auto"/>
              <w:right w:val="outset" w:sz="6" w:space="0" w:color="auto"/>
            </w:tcBorders>
            <w:hideMark/>
          </w:tcPr>
          <w:p w14:paraId="33F84B0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flavonoids,             </w:t>
            </w:r>
          </w:p>
          <w:p w14:paraId="5764229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o-dihydroxyphenols,  oleanolic acid</w:t>
            </w:r>
          </w:p>
        </w:tc>
        <w:tc>
          <w:tcPr>
            <w:tcW w:w="2010" w:type="dxa"/>
            <w:tcBorders>
              <w:top w:val="outset" w:sz="6" w:space="0" w:color="auto"/>
              <w:left w:val="outset" w:sz="6" w:space="0" w:color="auto"/>
              <w:bottom w:val="outset" w:sz="6" w:space="0" w:color="auto"/>
              <w:right w:val="outset" w:sz="6" w:space="0" w:color="auto"/>
            </w:tcBorders>
            <w:hideMark/>
          </w:tcPr>
          <w:p w14:paraId="378EDD48"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antibacterial (</w:t>
            </w:r>
            <w:r w:rsidRPr="00FF4196">
              <w:rPr>
                <w:rFonts w:ascii="Times New Roman" w:eastAsia="Times New Roman" w:hAnsi="Times New Roman" w:cs="Times New Roman"/>
                <w:i/>
                <w:iCs/>
                <w:sz w:val="24"/>
                <w:szCs w:val="24"/>
                <w:lang w:val="en-US" w:eastAsia="pl-PL"/>
              </w:rPr>
              <w:t>Enterococcus   faecalis</w:t>
            </w:r>
            <w:r w:rsidRPr="00FF4196">
              <w:rPr>
                <w:rFonts w:ascii="Times New Roman" w:eastAsia="Times New Roman" w:hAnsi="Times New Roman" w:cs="Times New Roman"/>
                <w:sz w:val="24"/>
                <w:szCs w:val="24"/>
                <w:lang w:val="en-US" w:eastAsia="pl-PL"/>
              </w:rPr>
              <w:t xml:space="preserve">, </w:t>
            </w:r>
            <w:r w:rsidRPr="00FF4196">
              <w:rPr>
                <w:rFonts w:ascii="Times New Roman" w:eastAsia="Times New Roman" w:hAnsi="Times New Roman" w:cs="Times New Roman"/>
                <w:i/>
                <w:iCs/>
                <w:sz w:val="24"/>
                <w:szCs w:val="24"/>
                <w:lang w:val="en-US" w:eastAsia="pl-PL"/>
              </w:rPr>
              <w:t>Escherichia  coli</w:t>
            </w:r>
            <w:r w:rsidRPr="00FF4196">
              <w:rPr>
                <w:rFonts w:ascii="Times New Roman" w:eastAsia="Times New Roman" w:hAnsi="Times New Roman" w:cs="Times New Roman"/>
                <w:sz w:val="24"/>
                <w:szCs w:val="24"/>
                <w:lang w:val="en-US" w:eastAsia="pl-PL"/>
              </w:rPr>
              <w:t>,  </w:t>
            </w:r>
            <w:r w:rsidRPr="00FF4196">
              <w:rPr>
                <w:rFonts w:ascii="Times New Roman" w:eastAsia="Times New Roman" w:hAnsi="Times New Roman" w:cs="Times New Roman"/>
                <w:i/>
                <w:iCs/>
                <w:sz w:val="24"/>
                <w:szCs w:val="24"/>
                <w:lang w:val="en-US" w:eastAsia="pl-PL"/>
              </w:rPr>
              <w:t>Pseudomonas aeruginosa</w:t>
            </w:r>
            <w:r w:rsidRPr="00FF4196">
              <w:rPr>
                <w:rFonts w:ascii="Times New Roman" w:eastAsia="Times New Roman" w:hAnsi="Times New Roman" w:cs="Times New Roman"/>
                <w:sz w:val="24"/>
                <w:szCs w:val="24"/>
                <w:lang w:val="en-US" w:eastAsia="pl-PL"/>
              </w:rPr>
              <w:t>, </w:t>
            </w:r>
            <w:r w:rsidRPr="00FF4196">
              <w:rPr>
                <w:rFonts w:ascii="Times New Roman" w:eastAsia="Times New Roman" w:hAnsi="Times New Roman" w:cs="Times New Roman"/>
                <w:i/>
                <w:iCs/>
                <w:sz w:val="24"/>
                <w:szCs w:val="24"/>
                <w:lang w:val="en-US" w:eastAsia="pl-PL"/>
              </w:rPr>
              <w:t>Staphylococcus aureus</w:t>
            </w:r>
            <w:r w:rsidRPr="00FF4196">
              <w:rPr>
                <w:rFonts w:ascii="Times New Roman" w:eastAsia="Times New Roman" w:hAnsi="Times New Roman" w:cs="Times New Roman"/>
                <w:sz w:val="24"/>
                <w:szCs w:val="24"/>
                <w:lang w:val="en-US" w:eastAsia="pl-PL"/>
              </w:rPr>
              <w:t>)</w:t>
            </w:r>
          </w:p>
        </w:tc>
        <w:tc>
          <w:tcPr>
            <w:tcW w:w="1590" w:type="dxa"/>
            <w:tcBorders>
              <w:top w:val="outset" w:sz="6" w:space="0" w:color="auto"/>
              <w:left w:val="outset" w:sz="6" w:space="0" w:color="auto"/>
              <w:bottom w:val="outset" w:sz="6" w:space="0" w:color="auto"/>
              <w:right w:val="outset" w:sz="6" w:space="0" w:color="auto"/>
            </w:tcBorders>
            <w:hideMark/>
          </w:tcPr>
          <w:p w14:paraId="7ECBED5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Kowalski, Kędzia 2007</w:t>
            </w:r>
          </w:p>
        </w:tc>
      </w:tr>
    </w:tbl>
    <w:p w14:paraId="668AF59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7BFD858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Literature</w:t>
      </w:r>
    </w:p>
    <w:p w14:paraId="47F8E27D"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Jamiołkowska A, Kowalski R., 2012.  In vitro estimate of influence of Silphium perfoliatum L. leaves extract on some fungi colonizing the pepper plants. Acta Sci. Pol., Hortorum Cultus 11(3), 43-55. http://hortorumcultus.actapol.net/pub/11_3_43.pdf</w:t>
      </w:r>
    </w:p>
    <w:p w14:paraId="3215A9D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lang w:val="en-US" w:eastAsia="pl-PL"/>
        </w:rPr>
        <w:t xml:space="preserve">Kowalski R., Kędzia B., 2007. Antibacterial activity of Silphium perfoliatum extracts. </w:t>
      </w:r>
      <w:r w:rsidRPr="00E56A40">
        <w:rPr>
          <w:rFonts w:ascii="Times New Roman" w:eastAsia="Times New Roman" w:hAnsi="Times New Roman" w:cs="Times New Roman"/>
          <w:sz w:val="24"/>
          <w:szCs w:val="24"/>
          <w:lang w:eastAsia="pl-PL"/>
        </w:rPr>
        <w:t>Pharmaceutical Biology 45(6), 494-500.</w:t>
      </w:r>
    </w:p>
    <w:p w14:paraId="2C619560" w14:textId="248551E6" w:rsid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p>
    <w:p w14:paraId="29A3A033" w14:textId="05458E7C" w:rsid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p>
    <w:p w14:paraId="5877E93C" w14:textId="0B3B99DD" w:rsid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p>
    <w:p w14:paraId="088A5874" w14:textId="3E701137" w:rsid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p>
    <w:p w14:paraId="6C5131DC" w14:textId="01F2BEAF" w:rsid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p>
    <w:p w14:paraId="5889F97E" w14:textId="40354046" w:rsid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p>
    <w:p w14:paraId="55EFA4AE" w14:textId="658D8C96" w:rsid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p>
    <w:p w14:paraId="09DA277B" w14:textId="77777777" w:rsidR="00E56A40" w:rsidRPr="00E56A40" w:rsidRDefault="00E56A40" w:rsidP="00E56A40">
      <w:pPr>
        <w:spacing w:before="100" w:beforeAutospacing="1" w:after="100" w:afterAutospacing="1" w:line="240" w:lineRule="auto"/>
        <w:outlineLvl w:val="0"/>
        <w:rPr>
          <w:rFonts w:ascii="Times New Roman" w:eastAsia="Times New Roman" w:hAnsi="Times New Roman" w:cs="Times New Roman"/>
          <w:b/>
          <w:bCs/>
          <w:kern w:val="36"/>
          <w:sz w:val="48"/>
          <w:szCs w:val="48"/>
          <w:lang w:eastAsia="pl-PL"/>
        </w:rPr>
      </w:pPr>
      <w:r w:rsidRPr="00E56A40">
        <w:rPr>
          <w:rFonts w:ascii="Times New Roman" w:eastAsia="Times New Roman" w:hAnsi="Times New Roman" w:cs="Times New Roman"/>
          <w:b/>
          <w:bCs/>
          <w:kern w:val="36"/>
          <w:sz w:val="48"/>
          <w:szCs w:val="48"/>
          <w:lang w:eastAsia="pl-PL"/>
        </w:rPr>
        <w:t>Ekstrakty roślinne: zanieczyszczenia i składniki antyżywieniowe</w:t>
      </w:r>
    </w:p>
    <w:p w14:paraId="11295A8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Ekstrakty roślinne: zanieczyszczenia i składniki antyżywieniowe</w:t>
      </w:r>
    </w:p>
    <w:tbl>
      <w:tblPr>
        <w:tblpPr w:leftFromText="45" w:rightFromText="45" w:vertAnchor="text"/>
        <w:tblW w:w="892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1"/>
        <w:gridCol w:w="4387"/>
        <w:gridCol w:w="2127"/>
      </w:tblGrid>
      <w:tr w:rsidR="00E56A40" w:rsidRPr="00E56A40" w14:paraId="6E906BB8" w14:textId="77777777" w:rsidTr="00E56A4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14:paraId="7A81988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Surowiec</w:t>
            </w:r>
          </w:p>
        </w:tc>
        <w:tc>
          <w:tcPr>
            <w:tcW w:w="4395" w:type="dxa"/>
            <w:tcBorders>
              <w:top w:val="outset" w:sz="6" w:space="0" w:color="auto"/>
              <w:left w:val="outset" w:sz="6" w:space="0" w:color="auto"/>
              <w:bottom w:val="outset" w:sz="6" w:space="0" w:color="auto"/>
              <w:right w:val="outset" w:sz="6" w:space="0" w:color="auto"/>
            </w:tcBorders>
            <w:hideMark/>
          </w:tcPr>
          <w:p w14:paraId="58C6079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Substancje antyżywieniowe/ zanieczyszczenia</w:t>
            </w:r>
          </w:p>
        </w:tc>
        <w:tc>
          <w:tcPr>
            <w:tcW w:w="2130" w:type="dxa"/>
            <w:tcBorders>
              <w:top w:val="outset" w:sz="6" w:space="0" w:color="auto"/>
              <w:left w:val="outset" w:sz="6" w:space="0" w:color="auto"/>
              <w:bottom w:val="outset" w:sz="6" w:space="0" w:color="auto"/>
              <w:right w:val="outset" w:sz="6" w:space="0" w:color="auto"/>
            </w:tcBorders>
            <w:hideMark/>
          </w:tcPr>
          <w:p w14:paraId="401E899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Literatura</w:t>
            </w:r>
          </w:p>
        </w:tc>
      </w:tr>
      <w:tr w:rsidR="00E56A40" w:rsidRPr="00E56A40" w14:paraId="390DE3F1" w14:textId="77777777" w:rsidTr="00E56A4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14:paraId="35816F3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Ogólnie – w roślinach</w:t>
            </w:r>
          </w:p>
          <w:p w14:paraId="4193CD0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c>
        <w:tc>
          <w:tcPr>
            <w:tcW w:w="4395" w:type="dxa"/>
            <w:tcBorders>
              <w:top w:val="outset" w:sz="6" w:space="0" w:color="auto"/>
              <w:left w:val="outset" w:sz="6" w:space="0" w:color="auto"/>
              <w:bottom w:val="outset" w:sz="6" w:space="0" w:color="auto"/>
              <w:right w:val="outset" w:sz="6" w:space="0" w:color="auto"/>
            </w:tcBorders>
            <w:hideMark/>
          </w:tcPr>
          <w:p w14:paraId="5E2D1C5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taniny (zmniejszenie wchłaniania wapnia, wit. B1 i żelaza),</w:t>
            </w:r>
          </w:p>
          <w:p w14:paraId="03A4580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azotany,</w:t>
            </w:r>
          </w:p>
          <w:p w14:paraId="52D196A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kwas szczawiowy (ograniczenie dostępności wapnia),</w:t>
            </w:r>
          </w:p>
          <w:p w14:paraId="4D8E430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substancje cyjanogenne (mogą zakłócać wykorzystanie jodu i powodować niedoczynność tarczycy),</w:t>
            </w:r>
          </w:p>
          <w:p w14:paraId="65AEA87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białka (antytrypsyna, fitohemaglutyniny)</w:t>
            </w:r>
          </w:p>
          <w:p w14:paraId="7881517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fitoestrogeny</w:t>
            </w:r>
          </w:p>
        </w:tc>
        <w:tc>
          <w:tcPr>
            <w:tcW w:w="2130" w:type="dxa"/>
            <w:tcBorders>
              <w:top w:val="outset" w:sz="6" w:space="0" w:color="auto"/>
              <w:left w:val="outset" w:sz="6" w:space="0" w:color="auto"/>
              <w:bottom w:val="outset" w:sz="6" w:space="0" w:color="auto"/>
              <w:right w:val="outset" w:sz="6" w:space="0" w:color="auto"/>
            </w:tcBorders>
            <w:hideMark/>
          </w:tcPr>
          <w:p w14:paraId="141F2E94"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Bora 2014;</w:t>
            </w:r>
          </w:p>
          <w:p w14:paraId="0B4AB06C"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Emire i in. 2013;</w:t>
            </w:r>
          </w:p>
          <w:p w14:paraId="4B5ECBB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Gontzea, Sutzescu 1968</w:t>
            </w:r>
          </w:p>
          <w:p w14:paraId="0EBB0DD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Bernhoft 2010</w:t>
            </w:r>
          </w:p>
        </w:tc>
      </w:tr>
      <w:tr w:rsidR="00E56A40" w:rsidRPr="00E56A40" w14:paraId="12EDF131" w14:textId="77777777" w:rsidTr="00E56A4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14:paraId="64EE664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xml:space="preserve">Salix </w:t>
            </w:r>
            <w:r w:rsidRPr="00E56A40">
              <w:rPr>
                <w:rFonts w:ascii="Times New Roman" w:eastAsia="Times New Roman" w:hAnsi="Times New Roman" w:cs="Times New Roman"/>
                <w:sz w:val="24"/>
                <w:szCs w:val="24"/>
                <w:lang w:eastAsia="pl-PL"/>
              </w:rPr>
              <w:t>ssp.</w:t>
            </w:r>
          </w:p>
        </w:tc>
        <w:tc>
          <w:tcPr>
            <w:tcW w:w="4395" w:type="dxa"/>
            <w:tcBorders>
              <w:top w:val="outset" w:sz="6" w:space="0" w:color="auto"/>
              <w:left w:val="outset" w:sz="6" w:space="0" w:color="auto"/>
              <w:bottom w:val="outset" w:sz="6" w:space="0" w:color="auto"/>
              <w:right w:val="outset" w:sz="6" w:space="0" w:color="auto"/>
            </w:tcBorders>
            <w:hideMark/>
          </w:tcPr>
          <w:p w14:paraId="28D751F8"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salicylany (możliwe reakcje anafilaktyczne u osób z alergią na salicylany)</w:t>
            </w:r>
          </w:p>
          <w:p w14:paraId="6770613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zanieczyszczenie kory kadmem,</w:t>
            </w:r>
          </w:p>
          <w:p w14:paraId="5D4DADA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080BCE7E"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kwas szczawiowy (korzenie boczne)</w:t>
            </w:r>
          </w:p>
        </w:tc>
        <w:tc>
          <w:tcPr>
            <w:tcW w:w="2130" w:type="dxa"/>
            <w:tcBorders>
              <w:top w:val="outset" w:sz="6" w:space="0" w:color="auto"/>
              <w:left w:val="outset" w:sz="6" w:space="0" w:color="auto"/>
              <w:bottom w:val="outset" w:sz="6" w:space="0" w:color="auto"/>
              <w:right w:val="outset" w:sz="6" w:space="0" w:color="auto"/>
            </w:tcBorders>
            <w:hideMark/>
          </w:tcPr>
          <w:p w14:paraId="47FD5DB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Matyjaszyk i Schumann 2018</w:t>
            </w:r>
          </w:p>
          <w:p w14:paraId="5DFFFF5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40F323E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4AB59F2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34A75829"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Mleczek i in. 2018</w:t>
            </w:r>
          </w:p>
        </w:tc>
      </w:tr>
      <w:tr w:rsidR="00E56A40" w:rsidRPr="00FF4196" w14:paraId="6AE1EB30" w14:textId="77777777" w:rsidTr="00E56A4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14:paraId="4D4AA58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Robinia pseudoacacia</w:t>
            </w:r>
          </w:p>
          <w:p w14:paraId="43BD769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t> </w:t>
            </w:r>
          </w:p>
        </w:tc>
        <w:tc>
          <w:tcPr>
            <w:tcW w:w="4395" w:type="dxa"/>
            <w:tcBorders>
              <w:top w:val="outset" w:sz="6" w:space="0" w:color="auto"/>
              <w:left w:val="outset" w:sz="6" w:space="0" w:color="auto"/>
              <w:bottom w:val="outset" w:sz="6" w:space="0" w:color="auto"/>
              <w:right w:val="outset" w:sz="6" w:space="0" w:color="auto"/>
            </w:tcBorders>
            <w:hideMark/>
          </w:tcPr>
          <w:p w14:paraId="567ABE4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lektyny (aglutynacja erytrocytów, zaburzanie trzustkowego wydzielania i syntezy insuliny, obniżenie aktywności enzymów proteolitycznych, tworzenie zmian w limfocytach, niszczenie enterocytów nabłonka dwunastnicy i jelita czczego, powodowanie znacznego przerostu jelita cienkiego i zmian w jego mikroflorze)</w:t>
            </w:r>
          </w:p>
          <w:p w14:paraId="3DE220E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271419F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skondensowane taniny,</w:t>
            </w:r>
          </w:p>
          <w:p w14:paraId="4935552D"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saponiny (kora; mogą powodować hemolizę krwi, wymioty i biegunkę)</w:t>
            </w:r>
          </w:p>
          <w:p w14:paraId="1E11728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c>
        <w:tc>
          <w:tcPr>
            <w:tcW w:w="2130" w:type="dxa"/>
            <w:tcBorders>
              <w:top w:val="outset" w:sz="6" w:space="0" w:color="auto"/>
              <w:left w:val="outset" w:sz="6" w:space="0" w:color="auto"/>
              <w:bottom w:val="outset" w:sz="6" w:space="0" w:color="auto"/>
              <w:right w:val="outset" w:sz="6" w:space="0" w:color="auto"/>
            </w:tcBorders>
            <w:hideMark/>
          </w:tcPr>
          <w:p w14:paraId="1E63239F"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Damme i in. 1995</w:t>
            </w:r>
          </w:p>
          <w:p w14:paraId="5C5A534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w:t>
            </w:r>
          </w:p>
          <w:p w14:paraId="103A377F"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w:t>
            </w:r>
          </w:p>
          <w:p w14:paraId="246FAF0C"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w:t>
            </w:r>
          </w:p>
          <w:p w14:paraId="6B9B23C4"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w:t>
            </w:r>
          </w:p>
          <w:p w14:paraId="39B81030"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w:t>
            </w:r>
          </w:p>
          <w:p w14:paraId="6551D02F"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w:t>
            </w:r>
          </w:p>
          <w:p w14:paraId="0EAC979C"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w:t>
            </w:r>
          </w:p>
          <w:p w14:paraId="0E40EAC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w:t>
            </w:r>
          </w:p>
          <w:p w14:paraId="6B7C9DF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Kumar 2009</w:t>
            </w:r>
          </w:p>
          <w:p w14:paraId="26C5620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Bernhoft 2010</w:t>
            </w:r>
          </w:p>
          <w:p w14:paraId="7D4F6BA7"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w:t>
            </w:r>
          </w:p>
        </w:tc>
      </w:tr>
      <w:tr w:rsidR="00E56A40" w:rsidRPr="00E56A40" w14:paraId="0B5BDB91" w14:textId="77777777" w:rsidTr="00E56A40">
        <w:trPr>
          <w:tblCellSpacing w:w="0" w:type="dxa"/>
        </w:trPr>
        <w:tc>
          <w:tcPr>
            <w:tcW w:w="2415" w:type="dxa"/>
            <w:tcBorders>
              <w:top w:val="outset" w:sz="6" w:space="0" w:color="auto"/>
              <w:left w:val="outset" w:sz="6" w:space="0" w:color="auto"/>
              <w:bottom w:val="outset" w:sz="6" w:space="0" w:color="auto"/>
              <w:right w:val="outset" w:sz="6" w:space="0" w:color="auto"/>
            </w:tcBorders>
            <w:hideMark/>
          </w:tcPr>
          <w:p w14:paraId="780884A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i/>
                <w:iCs/>
                <w:sz w:val="24"/>
                <w:szCs w:val="24"/>
                <w:lang w:eastAsia="pl-PL"/>
              </w:rPr>
              <w:lastRenderedPageBreak/>
              <w:t>Populus</w:t>
            </w:r>
            <w:r w:rsidRPr="00E56A40">
              <w:rPr>
                <w:rFonts w:ascii="Times New Roman" w:eastAsia="Times New Roman" w:hAnsi="Times New Roman" w:cs="Times New Roman"/>
                <w:sz w:val="24"/>
                <w:szCs w:val="24"/>
                <w:lang w:eastAsia="pl-PL"/>
              </w:rPr>
              <w:t xml:space="preserve"> </w:t>
            </w:r>
            <w:r w:rsidRPr="00E56A40">
              <w:rPr>
                <w:rFonts w:ascii="Times New Roman" w:eastAsia="Times New Roman" w:hAnsi="Times New Roman" w:cs="Times New Roman"/>
                <w:i/>
                <w:iCs/>
                <w:sz w:val="24"/>
                <w:szCs w:val="24"/>
                <w:lang w:eastAsia="pl-PL"/>
              </w:rPr>
              <w:t>nigra</w:t>
            </w:r>
          </w:p>
        </w:tc>
        <w:tc>
          <w:tcPr>
            <w:tcW w:w="4395" w:type="dxa"/>
            <w:tcBorders>
              <w:top w:val="outset" w:sz="6" w:space="0" w:color="auto"/>
              <w:left w:val="outset" w:sz="6" w:space="0" w:color="auto"/>
              <w:bottom w:val="outset" w:sz="6" w:space="0" w:color="auto"/>
              <w:right w:val="outset" w:sz="6" w:space="0" w:color="auto"/>
            </w:tcBorders>
            <w:hideMark/>
          </w:tcPr>
          <w:p w14:paraId="79D5CA0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skondensowane taniny (heteropolimery proantocyjanidynowe; zmniejszają strawność białka)</w:t>
            </w:r>
          </w:p>
          <w:p w14:paraId="19B3E31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251B583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zanieczyszczenia Ag, As, Na, Cr, Co, Zn (liście; roślina wskaźnikowa)</w:t>
            </w:r>
          </w:p>
          <w:p w14:paraId="25135F8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tc>
        <w:tc>
          <w:tcPr>
            <w:tcW w:w="2130" w:type="dxa"/>
            <w:tcBorders>
              <w:top w:val="outset" w:sz="6" w:space="0" w:color="auto"/>
              <w:left w:val="outset" w:sz="6" w:space="0" w:color="auto"/>
              <w:bottom w:val="outset" w:sz="6" w:space="0" w:color="auto"/>
              <w:right w:val="outset" w:sz="6" w:space="0" w:color="auto"/>
            </w:tcBorders>
            <w:hideMark/>
          </w:tcPr>
          <w:p w14:paraId="73440D43"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Rubert-Nason i Lindroth 2019</w:t>
            </w:r>
          </w:p>
          <w:p w14:paraId="14BDBA07"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Burner i in. 2008</w:t>
            </w:r>
          </w:p>
          <w:p w14:paraId="4D966D98"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w:t>
            </w:r>
          </w:p>
          <w:p w14:paraId="1EF72BE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Yalaltdinova i in. 2018</w:t>
            </w:r>
          </w:p>
        </w:tc>
      </w:tr>
    </w:tbl>
    <w:p w14:paraId="5E03085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3562DF9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2D27BD3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6892539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509D0684"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330FE72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0424481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7EEDA02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7D25A1D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27BE1B8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4333F2D3"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3AF7532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3D3D07F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69671C37"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33B25E7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5CDFF2EB"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167717D6"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71DA26E2"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5912AA81"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3C240130"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4C4E5E9C"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lastRenderedPageBreak/>
        <w:t> </w:t>
      </w:r>
    </w:p>
    <w:p w14:paraId="75906E2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40DE7BBA"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323D52D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759F7B0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0240EBC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0FA3135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w:t>
      </w:r>
    </w:p>
    <w:p w14:paraId="7E29610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FF4196">
        <w:rPr>
          <w:rFonts w:ascii="Times New Roman" w:eastAsia="Times New Roman" w:hAnsi="Times New Roman" w:cs="Times New Roman"/>
          <w:sz w:val="24"/>
          <w:szCs w:val="24"/>
          <w:lang w:val="en-US" w:eastAsia="pl-PL"/>
        </w:rPr>
        <w:t>Matyjaszyk E., Schumann R., 2018. Risk assessment of white willow (</w:t>
      </w:r>
      <w:r w:rsidRPr="00FF4196">
        <w:rPr>
          <w:rFonts w:ascii="Times New Roman" w:eastAsia="Times New Roman" w:hAnsi="Times New Roman" w:cs="Times New Roman"/>
          <w:i/>
          <w:iCs/>
          <w:sz w:val="24"/>
          <w:szCs w:val="24"/>
          <w:lang w:val="en-US" w:eastAsia="pl-PL"/>
        </w:rPr>
        <w:t>Salix alba</w:t>
      </w:r>
      <w:r w:rsidRPr="00FF4196">
        <w:rPr>
          <w:rFonts w:ascii="Times New Roman" w:eastAsia="Times New Roman" w:hAnsi="Times New Roman" w:cs="Times New Roman"/>
          <w:sz w:val="24"/>
          <w:szCs w:val="24"/>
          <w:lang w:val="en-US" w:eastAsia="pl-PL"/>
        </w:rPr>
        <w:t xml:space="preserve">) in food. </w:t>
      </w:r>
      <w:r w:rsidRPr="00E56A40">
        <w:rPr>
          <w:rFonts w:ascii="Times New Roman" w:eastAsia="Times New Roman" w:hAnsi="Times New Roman" w:cs="Times New Roman"/>
          <w:sz w:val="24"/>
          <w:szCs w:val="24"/>
          <w:lang w:eastAsia="pl-PL"/>
        </w:rPr>
        <w:t xml:space="preserve">EFSA Journal 16. </w:t>
      </w:r>
      <w:hyperlink r:id="rId74" w:history="1">
        <w:r w:rsidRPr="00E56A40">
          <w:rPr>
            <w:rFonts w:ascii="Times New Roman" w:eastAsia="Times New Roman" w:hAnsi="Times New Roman" w:cs="Times New Roman"/>
            <w:color w:val="0000FF"/>
            <w:sz w:val="24"/>
            <w:szCs w:val="24"/>
            <w:u w:val="single"/>
            <w:lang w:eastAsia="pl-PL"/>
          </w:rPr>
          <w:t>https://doi.org/10.2903/j.efsa.2018.e16081</w:t>
        </w:r>
      </w:hyperlink>
    </w:p>
    <w:p w14:paraId="147BF60E"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E56A40">
        <w:rPr>
          <w:rFonts w:ascii="Times New Roman" w:eastAsia="Times New Roman" w:hAnsi="Times New Roman" w:cs="Times New Roman"/>
          <w:sz w:val="24"/>
          <w:szCs w:val="24"/>
          <w:lang w:eastAsia="pl-PL"/>
        </w:rPr>
        <w:t xml:space="preserve">Wociór A., Kostyra H., Kuśmierczyk M., 2008. Lektyny w żywności. Żywność. Nauka. </w:t>
      </w:r>
      <w:r w:rsidRPr="00FF4196">
        <w:rPr>
          <w:rFonts w:ascii="Times New Roman" w:eastAsia="Times New Roman" w:hAnsi="Times New Roman" w:cs="Times New Roman"/>
          <w:sz w:val="24"/>
          <w:szCs w:val="24"/>
          <w:lang w:val="en-US" w:eastAsia="pl-PL"/>
        </w:rPr>
        <w:t>Technologia. Jakość 6(61), 16-24.</w:t>
      </w:r>
    </w:p>
    <w:p w14:paraId="729B26AA"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Van Damme E.J., Barre A., Smeets K., Torrekens S., Van Leuven F., Rougé P., Peumans W.J., 1995. The bark of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contains a complex mixture of lectins. Characterization of the proteins and the cDNA clones. Plant Physiol. 107(3), 833-43.</w:t>
      </w:r>
    </w:p>
    <w:p w14:paraId="45272EB6"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Rubert-Nason K.F., Lindroth R.L., 2019.Analysis of condensed tannins in </w:t>
      </w:r>
      <w:r w:rsidRPr="00FF4196">
        <w:rPr>
          <w:rFonts w:ascii="Times New Roman" w:eastAsia="Times New Roman" w:hAnsi="Times New Roman" w:cs="Times New Roman"/>
          <w:i/>
          <w:iCs/>
          <w:sz w:val="24"/>
          <w:szCs w:val="24"/>
          <w:lang w:val="en-US" w:eastAsia="pl-PL"/>
        </w:rPr>
        <w:t>Populus</w:t>
      </w:r>
      <w:r w:rsidRPr="00FF4196">
        <w:rPr>
          <w:rFonts w:ascii="Times New Roman" w:eastAsia="Times New Roman" w:hAnsi="Times New Roman" w:cs="Times New Roman"/>
          <w:sz w:val="24"/>
          <w:szCs w:val="24"/>
          <w:lang w:val="en-US" w:eastAsia="pl-PL"/>
        </w:rPr>
        <w:t xml:space="preserve"> spp. using reversed phase UPLC-PDA-(-)esi-MS following thiolytic depolymerisation. Phytochem Anal. 30(3), 257-267. doi: 10.1002/pca.2810</w:t>
      </w:r>
    </w:p>
    <w:p w14:paraId="0B37C5C6"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Burner D.M., Carrier D.J., . Belesky D.P., Pote D.H., Ares A., Clausen E.C., 2008. Yield components and nutritive value of </w:t>
      </w:r>
      <w:r w:rsidRPr="00FF4196">
        <w:rPr>
          <w:rFonts w:ascii="Times New Roman" w:eastAsia="Times New Roman" w:hAnsi="Times New Roman" w:cs="Times New Roman"/>
          <w:i/>
          <w:iCs/>
          <w:sz w:val="24"/>
          <w:szCs w:val="24"/>
          <w:lang w:val="en-US" w:eastAsia="pl-PL"/>
        </w:rPr>
        <w:t>Robinia pseudoacacia</w:t>
      </w:r>
      <w:r w:rsidRPr="00FF4196">
        <w:rPr>
          <w:rFonts w:ascii="Times New Roman" w:eastAsia="Times New Roman" w:hAnsi="Times New Roman" w:cs="Times New Roman"/>
          <w:sz w:val="24"/>
          <w:szCs w:val="24"/>
          <w:lang w:val="en-US" w:eastAsia="pl-PL"/>
        </w:rPr>
        <w:t xml:space="preserve"> and </w:t>
      </w:r>
      <w:r w:rsidRPr="00FF4196">
        <w:rPr>
          <w:rFonts w:ascii="Times New Roman" w:eastAsia="Times New Roman" w:hAnsi="Times New Roman" w:cs="Times New Roman"/>
          <w:i/>
          <w:iCs/>
          <w:sz w:val="24"/>
          <w:szCs w:val="24"/>
          <w:lang w:val="en-US" w:eastAsia="pl-PL"/>
        </w:rPr>
        <w:t>Albizia julibrissinin</w:t>
      </w:r>
      <w:r w:rsidRPr="00FF4196">
        <w:rPr>
          <w:rFonts w:ascii="Times New Roman" w:eastAsia="Times New Roman" w:hAnsi="Times New Roman" w:cs="Times New Roman"/>
          <w:sz w:val="24"/>
          <w:szCs w:val="24"/>
          <w:lang w:val="en-US" w:eastAsia="pl-PL"/>
        </w:rPr>
        <w:t xml:space="preserve"> Arkansas, USA. Agroforest Syst. 72, 51-62. DOI 10.1007/s10457-007-9098-x</w:t>
      </w:r>
    </w:p>
    <w:p w14:paraId="75AB059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Yalaltdinova A., Kim J., Baranovskaya N., Rikhvanov L., 2018. </w:t>
      </w:r>
      <w:r w:rsidRPr="00FF4196">
        <w:rPr>
          <w:rFonts w:ascii="Times New Roman" w:eastAsia="Times New Roman" w:hAnsi="Times New Roman" w:cs="Times New Roman"/>
          <w:i/>
          <w:iCs/>
          <w:sz w:val="24"/>
          <w:szCs w:val="24"/>
          <w:lang w:val="en-US" w:eastAsia="pl-PL"/>
        </w:rPr>
        <w:t>Populus nigra</w:t>
      </w:r>
      <w:r w:rsidRPr="00FF4196">
        <w:rPr>
          <w:rFonts w:ascii="Times New Roman" w:eastAsia="Times New Roman" w:hAnsi="Times New Roman" w:cs="Times New Roman"/>
          <w:sz w:val="24"/>
          <w:szCs w:val="24"/>
          <w:lang w:val="en-US" w:eastAsia="pl-PL"/>
        </w:rPr>
        <w:t xml:space="preserve"> L. as a bioindicator of atmospheric trace element pollution and potential toxic impacts on human and ecosystem. Ecological Indicators 95, 974-983.</w:t>
      </w:r>
    </w:p>
    <w:p w14:paraId="3D0312D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Bora P., 2014. Anti-Nutritional Factors in Foods and their Effects. Journal of Academia and Industrial Research (JAIR) 3, 285-290.</w:t>
      </w:r>
    </w:p>
    <w:p w14:paraId="39F725AA" w14:textId="77777777" w:rsidR="00E56A40" w:rsidRPr="00FF4196" w:rsidRDefault="00F82464" w:rsidP="00E56A40">
      <w:pPr>
        <w:spacing w:before="100" w:beforeAutospacing="1" w:after="100" w:afterAutospacing="1" w:line="240" w:lineRule="auto"/>
        <w:rPr>
          <w:rFonts w:ascii="Times New Roman" w:eastAsia="Times New Roman" w:hAnsi="Times New Roman" w:cs="Times New Roman"/>
          <w:sz w:val="24"/>
          <w:szCs w:val="24"/>
          <w:lang w:val="en-US" w:eastAsia="pl-PL"/>
        </w:rPr>
      </w:pPr>
      <w:hyperlink r:id="rId75" w:history="1">
        <w:r w:rsidR="00E56A40" w:rsidRPr="00FF4196">
          <w:rPr>
            <w:rFonts w:ascii="Times New Roman" w:eastAsia="Times New Roman" w:hAnsi="Times New Roman" w:cs="Times New Roman"/>
            <w:color w:val="0000FF"/>
            <w:sz w:val="24"/>
            <w:szCs w:val="24"/>
            <w:u w:val="single"/>
            <w:lang w:val="en-US" w:eastAsia="pl-PL"/>
          </w:rPr>
          <w:t>http://jairjp.com/NOVEMBER%202014/09%20PARUL%20REVIEW.pdf</w:t>
        </w:r>
      </w:hyperlink>
    </w:p>
    <w:p w14:paraId="596CB6E2"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Emire S.A., Jha Y.K., Mekam F., 2013. Role of Anti-nutritional Factors in Food Industry. BEVERAGE &amp; FOOD WORLD 23, </w:t>
      </w:r>
      <w:hyperlink r:id="rId76" w:history="1">
        <w:r w:rsidRPr="00FF4196">
          <w:rPr>
            <w:rFonts w:ascii="Times New Roman" w:eastAsia="Times New Roman" w:hAnsi="Times New Roman" w:cs="Times New Roman"/>
            <w:color w:val="0000FF"/>
            <w:sz w:val="24"/>
            <w:szCs w:val="24"/>
            <w:u w:val="single"/>
            <w:lang w:val="en-US" w:eastAsia="pl-PL"/>
          </w:rPr>
          <w:t>https://www.researchgate.net/publication/280722236</w:t>
        </w:r>
      </w:hyperlink>
    </w:p>
    <w:p w14:paraId="3AB0EAEC"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Gontzea I., Sutzescu P., Natural Antinutritive Substances in Foodstuffs and Forages. Basel, Karger, 1968. (DOI:10.1159/000389423)</w:t>
      </w:r>
    </w:p>
    <w:p w14:paraId="30312C03"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t xml:space="preserve">Kumar M.V. Anti-nutritional factors, the potential risks of toxicity and methods to alleviate them [in] Veterinary Toxicology. New Delhi 2009. </w:t>
      </w:r>
      <w:hyperlink r:id="rId77" w:history="1">
        <w:r w:rsidRPr="00FF4196">
          <w:rPr>
            <w:rFonts w:ascii="Times New Roman" w:eastAsia="Times New Roman" w:hAnsi="Times New Roman" w:cs="Times New Roman"/>
            <w:color w:val="0000FF"/>
            <w:sz w:val="24"/>
            <w:szCs w:val="24"/>
            <w:u w:val="single"/>
            <w:lang w:val="en-US" w:eastAsia="pl-PL"/>
          </w:rPr>
          <w:t>http://www.fao.org/3/T0632E10.htm</w:t>
        </w:r>
      </w:hyperlink>
    </w:p>
    <w:p w14:paraId="6972457B" w14:textId="77777777" w:rsidR="00E56A40" w:rsidRPr="00FF4196" w:rsidRDefault="00E56A40" w:rsidP="00E56A40">
      <w:pPr>
        <w:spacing w:before="100" w:beforeAutospacing="1" w:after="100" w:afterAutospacing="1" w:line="240" w:lineRule="auto"/>
        <w:rPr>
          <w:rFonts w:ascii="Times New Roman" w:eastAsia="Times New Roman" w:hAnsi="Times New Roman" w:cs="Times New Roman"/>
          <w:sz w:val="24"/>
          <w:szCs w:val="24"/>
          <w:lang w:val="en-US" w:eastAsia="pl-PL"/>
        </w:rPr>
      </w:pPr>
      <w:r w:rsidRPr="00FF4196">
        <w:rPr>
          <w:rFonts w:ascii="Times New Roman" w:eastAsia="Times New Roman" w:hAnsi="Times New Roman" w:cs="Times New Roman"/>
          <w:sz w:val="24"/>
          <w:szCs w:val="24"/>
          <w:lang w:val="en-US" w:eastAsia="pl-PL"/>
        </w:rPr>
        <w:lastRenderedPageBreak/>
        <w:t>Bernhoft A. (Ed.), Bioactive Compounds in Plants - Benefits and Risks for Man and Animals, Norwegian Acad. of Sci. and Letters, Oslo, Norway (2010), 11-17.</w:t>
      </w:r>
    </w:p>
    <w:p w14:paraId="5FE06A15"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r w:rsidRPr="00E56A40">
        <w:rPr>
          <w:rFonts w:ascii="Times New Roman" w:eastAsia="Times New Roman" w:hAnsi="Times New Roman" w:cs="Times New Roman"/>
          <w:sz w:val="24"/>
          <w:szCs w:val="24"/>
          <w:lang w:eastAsia="pl-PL"/>
        </w:rPr>
        <w:t xml:space="preserve">Mleczek M., Gąsecka M., Waliszewska B., Magdziak Z., Szostek M., Rutkowski P., Kaniuczak J., Zborowska M., Budzyńska S., Mleczek P., Niedzielski P., 2018. </w:t>
      </w:r>
      <w:r w:rsidRPr="00FF4196">
        <w:rPr>
          <w:rFonts w:ascii="Times New Roman" w:eastAsia="Times New Roman" w:hAnsi="Times New Roman" w:cs="Times New Roman"/>
          <w:i/>
          <w:iCs/>
          <w:sz w:val="24"/>
          <w:szCs w:val="24"/>
          <w:lang w:val="en-US" w:eastAsia="pl-PL"/>
        </w:rPr>
        <w:t>Salix viminalis</w:t>
      </w:r>
      <w:r w:rsidRPr="00FF4196">
        <w:rPr>
          <w:rFonts w:ascii="Times New Roman" w:eastAsia="Times New Roman" w:hAnsi="Times New Roman" w:cs="Times New Roman"/>
          <w:sz w:val="24"/>
          <w:szCs w:val="24"/>
          <w:lang w:val="en-US" w:eastAsia="pl-PL"/>
        </w:rPr>
        <w:t xml:space="preserve"> L. - A highly effective plant in phytoextraction of elements. </w:t>
      </w:r>
      <w:r w:rsidRPr="00E56A40">
        <w:rPr>
          <w:rFonts w:ascii="Times New Roman" w:eastAsia="Times New Roman" w:hAnsi="Times New Roman" w:cs="Times New Roman"/>
          <w:sz w:val="24"/>
          <w:szCs w:val="24"/>
          <w:lang w:eastAsia="pl-PL"/>
        </w:rPr>
        <w:t>Chemosphere 212, 67-78.</w:t>
      </w:r>
    </w:p>
    <w:p w14:paraId="02574D7B" w14:textId="7BD3202B" w:rsid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p>
    <w:p w14:paraId="6D860B27" w14:textId="4A66C8FC" w:rsid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p>
    <w:p w14:paraId="64394216" w14:textId="03A93E55" w:rsid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p>
    <w:p w14:paraId="0EC8EB6B" w14:textId="4CFC259D" w:rsid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p>
    <w:p w14:paraId="6DB104DA" w14:textId="77777777" w:rsidR="00E56A40" w:rsidRDefault="00E56A40" w:rsidP="00E56A40">
      <w:pPr>
        <w:pStyle w:val="Nagwek1"/>
      </w:pPr>
      <w:r>
        <w:t>Wakacyjna aktywności naszej doktorantki Pani mgr inż. Adriany Bomba</w:t>
      </w:r>
    </w:p>
    <w:p w14:paraId="3B140BD8" w14:textId="77777777" w:rsidR="00E56A40" w:rsidRPr="00FF4196" w:rsidRDefault="00E56A40" w:rsidP="00E56A40">
      <w:pPr>
        <w:pStyle w:val="NormalnyWeb"/>
        <w:rPr>
          <w:lang w:val="en-US"/>
        </w:rPr>
      </w:pPr>
      <w:r>
        <w:t xml:space="preserve">Wakacyjna aktywności naszej doktorantki Pani mgr inż. </w:t>
      </w:r>
      <w:r w:rsidRPr="00FF4196">
        <w:rPr>
          <w:lang w:val="en-US"/>
        </w:rPr>
        <w:t>Adriany Bomba:</w:t>
      </w:r>
    </w:p>
    <w:p w14:paraId="0B171FA2" w14:textId="77777777" w:rsidR="00E56A40" w:rsidRPr="00FF4196" w:rsidRDefault="00E56A40" w:rsidP="00E56A40">
      <w:pPr>
        <w:pStyle w:val="NormalnyWeb"/>
        <w:rPr>
          <w:lang w:val="en-US"/>
        </w:rPr>
      </w:pPr>
      <w:r w:rsidRPr="00FF4196">
        <w:rPr>
          <w:u w:val="single"/>
          <w:lang w:val="en-US"/>
        </w:rPr>
        <w:t xml:space="preserve">Warsztaty: </w:t>
      </w:r>
    </w:p>
    <w:p w14:paraId="11254C3E" w14:textId="77777777" w:rsidR="00E56A40" w:rsidRPr="00FF4196" w:rsidRDefault="00E56A40" w:rsidP="00E56A40">
      <w:pPr>
        <w:pStyle w:val="NormalnyWeb"/>
        <w:rPr>
          <w:lang w:val="en-US"/>
        </w:rPr>
      </w:pPr>
      <w:r w:rsidRPr="00FF4196">
        <w:rPr>
          <w:lang w:val="en-US"/>
        </w:rPr>
        <w:t>EIT Food RIS Venturing School on Innovative side streams solutions in food industry, 23-29.05.2019 Olsztyn, Matis, University of Cambridge, VTT, PAN</w:t>
      </w:r>
    </w:p>
    <w:p w14:paraId="5EEA9773" w14:textId="77777777" w:rsidR="00E56A40" w:rsidRPr="00FF4196" w:rsidRDefault="00E56A40" w:rsidP="00E56A40">
      <w:pPr>
        <w:pStyle w:val="NormalnyWeb"/>
        <w:rPr>
          <w:lang w:val="en-US"/>
        </w:rPr>
      </w:pPr>
      <w:r w:rsidRPr="00FF4196">
        <w:rPr>
          <w:lang w:val="en-US"/>
        </w:rPr>
        <w:t>EIT Food Summer School on New Product Development, 02-06.09.2019 Warszawa, Pepsico, EPFL, Technion, UW, Maspex</w:t>
      </w:r>
    </w:p>
    <w:p w14:paraId="68C10811" w14:textId="77777777" w:rsidR="00E56A40" w:rsidRPr="00FF4196" w:rsidRDefault="00E56A40" w:rsidP="00E56A40">
      <w:pPr>
        <w:pStyle w:val="NormalnyWeb"/>
        <w:rPr>
          <w:lang w:val="en-US"/>
        </w:rPr>
      </w:pPr>
      <w:r w:rsidRPr="00FF4196">
        <w:rPr>
          <w:u w:val="single"/>
          <w:lang w:val="en-US"/>
        </w:rPr>
        <w:t>Konferencje:</w:t>
      </w:r>
    </w:p>
    <w:p w14:paraId="505F6697" w14:textId="77777777" w:rsidR="00E56A40" w:rsidRPr="00FF4196" w:rsidRDefault="00E56A40" w:rsidP="00E56A40">
      <w:pPr>
        <w:pStyle w:val="NormalnyWeb"/>
        <w:rPr>
          <w:lang w:val="en-US"/>
        </w:rPr>
      </w:pPr>
      <w:r w:rsidRPr="00FF4196">
        <w:rPr>
          <w:lang w:val="en-US"/>
        </w:rPr>
        <w:t>VII International Session for Young Researchers „Food – yesterday, today and for healthy tomorrow”, 23-24.05.2019 Olsztyn, referat pt.: ”Rheology as a potential tool to solve the problem of malnutrition”</w:t>
      </w:r>
    </w:p>
    <w:p w14:paraId="76EF96B4" w14:textId="77777777" w:rsidR="00E56A40" w:rsidRPr="00FF4196" w:rsidRDefault="00E56A40" w:rsidP="00E56A40">
      <w:pPr>
        <w:pStyle w:val="NormalnyWeb"/>
        <w:rPr>
          <w:lang w:val="en-US"/>
        </w:rPr>
      </w:pPr>
      <w:r w:rsidRPr="00FF4196">
        <w:rPr>
          <w:lang w:val="en-US"/>
        </w:rPr>
        <w:t>4th Edition Of International Conference on Agriculture and Food Chemistry, 08-09.2019 Wiedeń, referat pt.: ”Stirred yoghurts fortified with colostrum – influence of colostrum addition on its acidification proces and rheological properties”</w:t>
      </w:r>
    </w:p>
    <w:p w14:paraId="60756E26" w14:textId="77777777" w:rsidR="00E56A40" w:rsidRPr="00FF4196" w:rsidRDefault="00E56A40" w:rsidP="00E56A40">
      <w:pPr>
        <w:pStyle w:val="NormalnyWeb"/>
        <w:rPr>
          <w:lang w:val="en-US"/>
        </w:rPr>
      </w:pPr>
      <w:r w:rsidRPr="00FF4196">
        <w:rPr>
          <w:u w:val="single"/>
          <w:lang w:val="en-US"/>
        </w:rPr>
        <w:t>Pełnione funkcje</w:t>
      </w:r>
    </w:p>
    <w:p w14:paraId="140FA443" w14:textId="77777777" w:rsidR="00E56A40" w:rsidRPr="00FF4196" w:rsidRDefault="00E56A40" w:rsidP="00E56A40">
      <w:pPr>
        <w:pStyle w:val="NormalnyWeb"/>
        <w:rPr>
          <w:lang w:val="en-US"/>
        </w:rPr>
      </w:pPr>
      <w:r w:rsidRPr="00FF4196">
        <w:rPr>
          <w:lang w:val="en-US"/>
        </w:rPr>
        <w:t>Pełnienie funkcji moderatora konferencji 4th Edition Of International Conference on Agriculture and Food Chemistry, 08-09.2019 Wiedeń</w:t>
      </w:r>
    </w:p>
    <w:p w14:paraId="371D6CDE" w14:textId="77777777" w:rsidR="00E56A40" w:rsidRDefault="00E56A40" w:rsidP="00E56A40">
      <w:pPr>
        <w:pStyle w:val="NormalnyWeb"/>
      </w:pPr>
      <w:r w:rsidRPr="00FF4196">
        <w:rPr>
          <w:lang w:val="en-US"/>
        </w:rPr>
        <w:t xml:space="preserve">Polish National Committee of FIL/IDF – redakcja uwag dotyczących publikacji: Milena Corredig (DK), Mark  Fenelon (IE), John Tobin (IE) and Phil Kelly (IE) (2019) Concentration of Milk by Membrane Filtration. </w:t>
      </w:r>
      <w:r>
        <w:t>FIL/ IDF.</w:t>
      </w:r>
    </w:p>
    <w:p w14:paraId="7EE641E8" w14:textId="77777777" w:rsidR="00E56A40" w:rsidRDefault="00E56A40" w:rsidP="00E56A40">
      <w:pPr>
        <w:pStyle w:val="NormalnyWeb"/>
      </w:pPr>
      <w:r>
        <w:t>Gratulujemy i oby tak dalej!</w:t>
      </w:r>
    </w:p>
    <w:p w14:paraId="003BC54A" w14:textId="2B93F125" w:rsid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p>
    <w:p w14:paraId="6596D368" w14:textId="66393B1C" w:rsid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p>
    <w:p w14:paraId="3C9D8474" w14:textId="01EF2379" w:rsid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p>
    <w:p w14:paraId="4E307774" w14:textId="34637436" w:rsid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p>
    <w:p w14:paraId="666E08A4" w14:textId="264E714B" w:rsid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p>
    <w:p w14:paraId="3F24A03E" w14:textId="77777777" w:rsidR="00E56A40" w:rsidRDefault="00E56A40" w:rsidP="00E56A40">
      <w:pPr>
        <w:pStyle w:val="Nagwek1"/>
      </w:pPr>
      <w:r>
        <w:t>EIT Challenge Labs</w:t>
      </w:r>
    </w:p>
    <w:p w14:paraId="7B243CDE" w14:textId="77777777" w:rsidR="00E56A40" w:rsidRDefault="00E56A40" w:rsidP="00E56A40">
      <w:pPr>
        <w:pStyle w:val="NormalnyWeb"/>
      </w:pPr>
      <w:r>
        <w:t>Mgr inż. Adriana Bomba, doktorantka z Katedry Biotechnologii Żywności brała aktywny udział EIT Challenge Labs. Gratulujemy i życzymy sukcesów!</w:t>
      </w:r>
    </w:p>
    <w:p w14:paraId="38400264" w14:textId="77777777" w:rsidR="00E56A40" w:rsidRDefault="00F82464" w:rsidP="00E56A40">
      <w:pPr>
        <w:pStyle w:val="NormalnyWeb"/>
      </w:pPr>
      <w:hyperlink r:id="rId78" w:history="1">
        <w:r w:rsidR="00E56A40">
          <w:rPr>
            <w:rStyle w:val="Hipercze"/>
          </w:rPr>
          <w:t>https://youtu.be/mMcXAwc34og</w:t>
        </w:r>
      </w:hyperlink>
    </w:p>
    <w:p w14:paraId="2A5D0B6F" w14:textId="77777777" w:rsidR="00E56A40" w:rsidRPr="00E56A40" w:rsidRDefault="00E56A40" w:rsidP="00E56A40">
      <w:pPr>
        <w:spacing w:before="100" w:beforeAutospacing="1" w:after="100" w:afterAutospacing="1" w:line="240" w:lineRule="auto"/>
        <w:rPr>
          <w:rFonts w:ascii="Times New Roman" w:eastAsia="Times New Roman" w:hAnsi="Times New Roman" w:cs="Times New Roman"/>
          <w:sz w:val="24"/>
          <w:szCs w:val="24"/>
          <w:lang w:eastAsia="pl-PL"/>
        </w:rPr>
      </w:pPr>
    </w:p>
    <w:p w14:paraId="35B484B8" w14:textId="77777777" w:rsidR="00E56A40" w:rsidRDefault="00E56A40"/>
    <w:sectPr w:rsidR="00E56A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A40"/>
    <w:rsid w:val="007A7DE6"/>
    <w:rsid w:val="00E56A40"/>
    <w:rsid w:val="00F82464"/>
    <w:rsid w:val="00FF41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E86BB"/>
  <w15:chartTrackingRefBased/>
  <w15:docId w15:val="{958A2FCC-CCF3-4D20-94DA-B1984EF6A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E56A4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E56A4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E56A40"/>
    <w:rPr>
      <w:rFonts w:ascii="Times New Roman" w:eastAsia="Times New Roman" w:hAnsi="Times New Roman" w:cs="Times New Roman"/>
      <w:b/>
      <w:bCs/>
      <w:kern w:val="36"/>
      <w:sz w:val="48"/>
      <w:szCs w:val="48"/>
      <w:lang w:eastAsia="pl-PL"/>
    </w:rPr>
  </w:style>
  <w:style w:type="character" w:styleId="Pogrubienie">
    <w:name w:val="Strong"/>
    <w:basedOn w:val="Domylnaczcionkaakapitu"/>
    <w:uiPriority w:val="22"/>
    <w:qFormat/>
    <w:rsid w:val="00E56A40"/>
    <w:rPr>
      <w:b/>
      <w:bCs/>
    </w:rPr>
  </w:style>
  <w:style w:type="character" w:styleId="Uwydatnienie">
    <w:name w:val="Emphasis"/>
    <w:basedOn w:val="Domylnaczcionkaakapitu"/>
    <w:uiPriority w:val="20"/>
    <w:qFormat/>
    <w:rsid w:val="00E56A40"/>
    <w:rPr>
      <w:i/>
      <w:iCs/>
    </w:rPr>
  </w:style>
  <w:style w:type="paragraph" w:customStyle="1" w:styleId="msonormal0">
    <w:name w:val="msonormal"/>
    <w:basedOn w:val="Normalny"/>
    <w:rsid w:val="00E56A4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E56A40"/>
    <w:rPr>
      <w:color w:val="0000FF"/>
      <w:u w:val="single"/>
    </w:rPr>
  </w:style>
  <w:style w:type="character" w:styleId="UyteHipercze">
    <w:name w:val="FollowedHyperlink"/>
    <w:basedOn w:val="Domylnaczcionkaakapitu"/>
    <w:uiPriority w:val="99"/>
    <w:semiHidden/>
    <w:unhideWhenUsed/>
    <w:rsid w:val="00E56A40"/>
    <w:rPr>
      <w:color w:val="800080"/>
      <w:u w:val="single"/>
    </w:rPr>
  </w:style>
  <w:style w:type="paragraph" w:customStyle="1" w:styleId="endnotecategoryheading">
    <w:name w:val="endnotecategoryheading"/>
    <w:basedOn w:val="Normalny"/>
    <w:rsid w:val="00E56A40"/>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endnotebibliography">
    <w:name w:val="endnotebibliography"/>
    <w:basedOn w:val="Normalny"/>
    <w:rsid w:val="00E56A40"/>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ablecontents">
    <w:name w:val="tablecontents"/>
    <w:basedOn w:val="Normalny"/>
    <w:rsid w:val="00E56A40"/>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28668">
      <w:bodyDiv w:val="1"/>
      <w:marLeft w:val="0"/>
      <w:marRight w:val="0"/>
      <w:marTop w:val="0"/>
      <w:marBottom w:val="0"/>
      <w:divBdr>
        <w:top w:val="none" w:sz="0" w:space="0" w:color="auto"/>
        <w:left w:val="none" w:sz="0" w:space="0" w:color="auto"/>
        <w:bottom w:val="none" w:sz="0" w:space="0" w:color="auto"/>
        <w:right w:val="none" w:sz="0" w:space="0" w:color="auto"/>
      </w:divBdr>
      <w:divsChild>
        <w:div w:id="1279412900">
          <w:marLeft w:val="0"/>
          <w:marRight w:val="0"/>
          <w:marTop w:val="0"/>
          <w:marBottom w:val="0"/>
          <w:divBdr>
            <w:top w:val="none" w:sz="0" w:space="0" w:color="auto"/>
            <w:left w:val="none" w:sz="0" w:space="0" w:color="auto"/>
            <w:bottom w:val="none" w:sz="0" w:space="0" w:color="auto"/>
            <w:right w:val="none" w:sz="0" w:space="0" w:color="auto"/>
          </w:divBdr>
          <w:divsChild>
            <w:div w:id="1619875871">
              <w:marLeft w:val="0"/>
              <w:marRight w:val="0"/>
              <w:marTop w:val="0"/>
              <w:marBottom w:val="0"/>
              <w:divBdr>
                <w:top w:val="none" w:sz="0" w:space="0" w:color="auto"/>
                <w:left w:val="none" w:sz="0" w:space="0" w:color="auto"/>
                <w:bottom w:val="none" w:sz="0" w:space="0" w:color="auto"/>
                <w:right w:val="none" w:sz="0" w:space="0" w:color="auto"/>
              </w:divBdr>
              <w:divsChild>
                <w:div w:id="751896292">
                  <w:marLeft w:val="0"/>
                  <w:marRight w:val="0"/>
                  <w:marTop w:val="0"/>
                  <w:marBottom w:val="0"/>
                  <w:divBdr>
                    <w:top w:val="none" w:sz="0" w:space="0" w:color="auto"/>
                    <w:left w:val="none" w:sz="0" w:space="0" w:color="auto"/>
                    <w:bottom w:val="none" w:sz="0" w:space="0" w:color="auto"/>
                    <w:right w:val="none" w:sz="0" w:space="0" w:color="auto"/>
                  </w:divBdr>
                  <w:divsChild>
                    <w:div w:id="1036125349">
                      <w:marLeft w:val="0"/>
                      <w:marRight w:val="0"/>
                      <w:marTop w:val="0"/>
                      <w:marBottom w:val="0"/>
                      <w:divBdr>
                        <w:top w:val="none" w:sz="0" w:space="0" w:color="auto"/>
                        <w:left w:val="none" w:sz="0" w:space="0" w:color="auto"/>
                        <w:bottom w:val="none" w:sz="0" w:space="0" w:color="auto"/>
                        <w:right w:val="none" w:sz="0" w:space="0" w:color="auto"/>
                      </w:divBdr>
                      <w:divsChild>
                        <w:div w:id="162229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8333223">
      <w:bodyDiv w:val="1"/>
      <w:marLeft w:val="0"/>
      <w:marRight w:val="0"/>
      <w:marTop w:val="0"/>
      <w:marBottom w:val="0"/>
      <w:divBdr>
        <w:top w:val="none" w:sz="0" w:space="0" w:color="auto"/>
        <w:left w:val="none" w:sz="0" w:space="0" w:color="auto"/>
        <w:bottom w:val="none" w:sz="0" w:space="0" w:color="auto"/>
        <w:right w:val="none" w:sz="0" w:space="0" w:color="auto"/>
      </w:divBdr>
      <w:divsChild>
        <w:div w:id="1893812320">
          <w:marLeft w:val="0"/>
          <w:marRight w:val="0"/>
          <w:marTop w:val="0"/>
          <w:marBottom w:val="0"/>
          <w:divBdr>
            <w:top w:val="none" w:sz="0" w:space="0" w:color="auto"/>
            <w:left w:val="none" w:sz="0" w:space="0" w:color="auto"/>
            <w:bottom w:val="none" w:sz="0" w:space="0" w:color="auto"/>
            <w:right w:val="none" w:sz="0" w:space="0" w:color="auto"/>
          </w:divBdr>
          <w:divsChild>
            <w:div w:id="1396079080">
              <w:marLeft w:val="0"/>
              <w:marRight w:val="0"/>
              <w:marTop w:val="0"/>
              <w:marBottom w:val="0"/>
              <w:divBdr>
                <w:top w:val="none" w:sz="0" w:space="0" w:color="auto"/>
                <w:left w:val="none" w:sz="0" w:space="0" w:color="auto"/>
                <w:bottom w:val="none" w:sz="0" w:space="0" w:color="auto"/>
                <w:right w:val="none" w:sz="0" w:space="0" w:color="auto"/>
              </w:divBdr>
              <w:divsChild>
                <w:div w:id="2103183723">
                  <w:marLeft w:val="0"/>
                  <w:marRight w:val="0"/>
                  <w:marTop w:val="0"/>
                  <w:marBottom w:val="0"/>
                  <w:divBdr>
                    <w:top w:val="none" w:sz="0" w:space="0" w:color="auto"/>
                    <w:left w:val="none" w:sz="0" w:space="0" w:color="auto"/>
                    <w:bottom w:val="none" w:sz="0" w:space="0" w:color="auto"/>
                    <w:right w:val="none" w:sz="0" w:space="0" w:color="auto"/>
                  </w:divBdr>
                  <w:divsChild>
                    <w:div w:id="1890922736">
                      <w:marLeft w:val="0"/>
                      <w:marRight w:val="0"/>
                      <w:marTop w:val="0"/>
                      <w:marBottom w:val="0"/>
                      <w:divBdr>
                        <w:top w:val="none" w:sz="0" w:space="0" w:color="auto"/>
                        <w:left w:val="none" w:sz="0" w:space="0" w:color="auto"/>
                        <w:bottom w:val="none" w:sz="0" w:space="0" w:color="auto"/>
                        <w:right w:val="none" w:sz="0" w:space="0" w:color="auto"/>
                      </w:divBdr>
                      <w:divsChild>
                        <w:div w:id="115090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8120765">
      <w:bodyDiv w:val="1"/>
      <w:marLeft w:val="0"/>
      <w:marRight w:val="0"/>
      <w:marTop w:val="0"/>
      <w:marBottom w:val="0"/>
      <w:divBdr>
        <w:top w:val="none" w:sz="0" w:space="0" w:color="auto"/>
        <w:left w:val="none" w:sz="0" w:space="0" w:color="auto"/>
        <w:bottom w:val="none" w:sz="0" w:space="0" w:color="auto"/>
        <w:right w:val="none" w:sz="0" w:space="0" w:color="auto"/>
      </w:divBdr>
      <w:divsChild>
        <w:div w:id="1543202231">
          <w:marLeft w:val="0"/>
          <w:marRight w:val="0"/>
          <w:marTop w:val="0"/>
          <w:marBottom w:val="0"/>
          <w:divBdr>
            <w:top w:val="none" w:sz="0" w:space="0" w:color="auto"/>
            <w:left w:val="none" w:sz="0" w:space="0" w:color="auto"/>
            <w:bottom w:val="none" w:sz="0" w:space="0" w:color="auto"/>
            <w:right w:val="none" w:sz="0" w:space="0" w:color="auto"/>
          </w:divBdr>
          <w:divsChild>
            <w:div w:id="1360005853">
              <w:marLeft w:val="0"/>
              <w:marRight w:val="0"/>
              <w:marTop w:val="0"/>
              <w:marBottom w:val="0"/>
              <w:divBdr>
                <w:top w:val="none" w:sz="0" w:space="0" w:color="auto"/>
                <w:left w:val="none" w:sz="0" w:space="0" w:color="auto"/>
                <w:bottom w:val="none" w:sz="0" w:space="0" w:color="auto"/>
                <w:right w:val="none" w:sz="0" w:space="0" w:color="auto"/>
              </w:divBdr>
              <w:divsChild>
                <w:div w:id="1103837103">
                  <w:marLeft w:val="0"/>
                  <w:marRight w:val="0"/>
                  <w:marTop w:val="0"/>
                  <w:marBottom w:val="0"/>
                  <w:divBdr>
                    <w:top w:val="none" w:sz="0" w:space="0" w:color="auto"/>
                    <w:left w:val="none" w:sz="0" w:space="0" w:color="auto"/>
                    <w:bottom w:val="none" w:sz="0" w:space="0" w:color="auto"/>
                    <w:right w:val="none" w:sz="0" w:space="0" w:color="auto"/>
                  </w:divBdr>
                  <w:divsChild>
                    <w:div w:id="1485581627">
                      <w:marLeft w:val="0"/>
                      <w:marRight w:val="0"/>
                      <w:marTop w:val="0"/>
                      <w:marBottom w:val="0"/>
                      <w:divBdr>
                        <w:top w:val="none" w:sz="0" w:space="0" w:color="auto"/>
                        <w:left w:val="none" w:sz="0" w:space="0" w:color="auto"/>
                        <w:bottom w:val="none" w:sz="0" w:space="0" w:color="auto"/>
                        <w:right w:val="none" w:sz="0" w:space="0" w:color="auto"/>
                      </w:divBdr>
                      <w:divsChild>
                        <w:div w:id="196257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9355278">
      <w:bodyDiv w:val="1"/>
      <w:marLeft w:val="0"/>
      <w:marRight w:val="0"/>
      <w:marTop w:val="0"/>
      <w:marBottom w:val="0"/>
      <w:divBdr>
        <w:top w:val="none" w:sz="0" w:space="0" w:color="auto"/>
        <w:left w:val="none" w:sz="0" w:space="0" w:color="auto"/>
        <w:bottom w:val="none" w:sz="0" w:space="0" w:color="auto"/>
        <w:right w:val="none" w:sz="0" w:space="0" w:color="auto"/>
      </w:divBdr>
      <w:divsChild>
        <w:div w:id="498234588">
          <w:marLeft w:val="0"/>
          <w:marRight w:val="0"/>
          <w:marTop w:val="0"/>
          <w:marBottom w:val="0"/>
          <w:divBdr>
            <w:top w:val="none" w:sz="0" w:space="0" w:color="auto"/>
            <w:left w:val="none" w:sz="0" w:space="0" w:color="auto"/>
            <w:bottom w:val="none" w:sz="0" w:space="0" w:color="auto"/>
            <w:right w:val="none" w:sz="0" w:space="0" w:color="auto"/>
          </w:divBdr>
          <w:divsChild>
            <w:div w:id="1447845428">
              <w:marLeft w:val="0"/>
              <w:marRight w:val="0"/>
              <w:marTop w:val="0"/>
              <w:marBottom w:val="0"/>
              <w:divBdr>
                <w:top w:val="none" w:sz="0" w:space="0" w:color="auto"/>
                <w:left w:val="none" w:sz="0" w:space="0" w:color="auto"/>
                <w:bottom w:val="none" w:sz="0" w:space="0" w:color="auto"/>
                <w:right w:val="none" w:sz="0" w:space="0" w:color="auto"/>
              </w:divBdr>
              <w:divsChild>
                <w:div w:id="1644695455">
                  <w:marLeft w:val="0"/>
                  <w:marRight w:val="0"/>
                  <w:marTop w:val="0"/>
                  <w:marBottom w:val="0"/>
                  <w:divBdr>
                    <w:top w:val="none" w:sz="0" w:space="0" w:color="auto"/>
                    <w:left w:val="none" w:sz="0" w:space="0" w:color="auto"/>
                    <w:bottom w:val="none" w:sz="0" w:space="0" w:color="auto"/>
                    <w:right w:val="none" w:sz="0" w:space="0" w:color="auto"/>
                  </w:divBdr>
                  <w:divsChild>
                    <w:div w:id="27455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182550">
      <w:bodyDiv w:val="1"/>
      <w:marLeft w:val="0"/>
      <w:marRight w:val="0"/>
      <w:marTop w:val="0"/>
      <w:marBottom w:val="0"/>
      <w:divBdr>
        <w:top w:val="none" w:sz="0" w:space="0" w:color="auto"/>
        <w:left w:val="none" w:sz="0" w:space="0" w:color="auto"/>
        <w:bottom w:val="none" w:sz="0" w:space="0" w:color="auto"/>
        <w:right w:val="none" w:sz="0" w:space="0" w:color="auto"/>
      </w:divBdr>
      <w:divsChild>
        <w:div w:id="1595238816">
          <w:marLeft w:val="0"/>
          <w:marRight w:val="0"/>
          <w:marTop w:val="0"/>
          <w:marBottom w:val="0"/>
          <w:divBdr>
            <w:top w:val="none" w:sz="0" w:space="0" w:color="auto"/>
            <w:left w:val="none" w:sz="0" w:space="0" w:color="auto"/>
            <w:bottom w:val="none" w:sz="0" w:space="0" w:color="auto"/>
            <w:right w:val="none" w:sz="0" w:space="0" w:color="auto"/>
          </w:divBdr>
          <w:divsChild>
            <w:div w:id="1788154540">
              <w:marLeft w:val="0"/>
              <w:marRight w:val="0"/>
              <w:marTop w:val="0"/>
              <w:marBottom w:val="0"/>
              <w:divBdr>
                <w:top w:val="none" w:sz="0" w:space="0" w:color="auto"/>
                <w:left w:val="none" w:sz="0" w:space="0" w:color="auto"/>
                <w:bottom w:val="none" w:sz="0" w:space="0" w:color="auto"/>
                <w:right w:val="none" w:sz="0" w:space="0" w:color="auto"/>
              </w:divBdr>
              <w:divsChild>
                <w:div w:id="1840345042">
                  <w:marLeft w:val="0"/>
                  <w:marRight w:val="0"/>
                  <w:marTop w:val="0"/>
                  <w:marBottom w:val="0"/>
                  <w:divBdr>
                    <w:top w:val="none" w:sz="0" w:space="0" w:color="auto"/>
                    <w:left w:val="none" w:sz="0" w:space="0" w:color="auto"/>
                    <w:bottom w:val="none" w:sz="0" w:space="0" w:color="auto"/>
                    <w:right w:val="none" w:sz="0" w:space="0" w:color="auto"/>
                  </w:divBdr>
                  <w:divsChild>
                    <w:div w:id="1755473813">
                      <w:marLeft w:val="0"/>
                      <w:marRight w:val="0"/>
                      <w:marTop w:val="0"/>
                      <w:marBottom w:val="0"/>
                      <w:divBdr>
                        <w:top w:val="none" w:sz="0" w:space="0" w:color="auto"/>
                        <w:left w:val="none" w:sz="0" w:space="0" w:color="auto"/>
                        <w:bottom w:val="none" w:sz="0" w:space="0" w:color="auto"/>
                        <w:right w:val="none" w:sz="0" w:space="0" w:color="auto"/>
                      </w:divBdr>
                      <w:divsChild>
                        <w:div w:id="186385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6507461">
      <w:bodyDiv w:val="1"/>
      <w:marLeft w:val="0"/>
      <w:marRight w:val="0"/>
      <w:marTop w:val="0"/>
      <w:marBottom w:val="0"/>
      <w:divBdr>
        <w:top w:val="none" w:sz="0" w:space="0" w:color="auto"/>
        <w:left w:val="none" w:sz="0" w:space="0" w:color="auto"/>
        <w:bottom w:val="none" w:sz="0" w:space="0" w:color="auto"/>
        <w:right w:val="none" w:sz="0" w:space="0" w:color="auto"/>
      </w:divBdr>
      <w:divsChild>
        <w:div w:id="609170394">
          <w:marLeft w:val="0"/>
          <w:marRight w:val="0"/>
          <w:marTop w:val="0"/>
          <w:marBottom w:val="0"/>
          <w:divBdr>
            <w:top w:val="none" w:sz="0" w:space="0" w:color="auto"/>
            <w:left w:val="none" w:sz="0" w:space="0" w:color="auto"/>
            <w:bottom w:val="none" w:sz="0" w:space="0" w:color="auto"/>
            <w:right w:val="none" w:sz="0" w:space="0" w:color="auto"/>
          </w:divBdr>
          <w:divsChild>
            <w:div w:id="9533890">
              <w:marLeft w:val="0"/>
              <w:marRight w:val="0"/>
              <w:marTop w:val="0"/>
              <w:marBottom w:val="0"/>
              <w:divBdr>
                <w:top w:val="none" w:sz="0" w:space="0" w:color="auto"/>
                <w:left w:val="none" w:sz="0" w:space="0" w:color="auto"/>
                <w:bottom w:val="none" w:sz="0" w:space="0" w:color="auto"/>
                <w:right w:val="none" w:sz="0" w:space="0" w:color="auto"/>
              </w:divBdr>
              <w:divsChild>
                <w:div w:id="370422964">
                  <w:marLeft w:val="0"/>
                  <w:marRight w:val="0"/>
                  <w:marTop w:val="0"/>
                  <w:marBottom w:val="0"/>
                  <w:divBdr>
                    <w:top w:val="none" w:sz="0" w:space="0" w:color="auto"/>
                    <w:left w:val="none" w:sz="0" w:space="0" w:color="auto"/>
                    <w:bottom w:val="none" w:sz="0" w:space="0" w:color="auto"/>
                    <w:right w:val="none" w:sz="0" w:space="0" w:color="auto"/>
                  </w:divBdr>
                  <w:divsChild>
                    <w:div w:id="529606869">
                      <w:marLeft w:val="0"/>
                      <w:marRight w:val="0"/>
                      <w:marTop w:val="0"/>
                      <w:marBottom w:val="0"/>
                      <w:divBdr>
                        <w:top w:val="none" w:sz="0" w:space="0" w:color="auto"/>
                        <w:left w:val="none" w:sz="0" w:space="0" w:color="auto"/>
                        <w:bottom w:val="none" w:sz="0" w:space="0" w:color="auto"/>
                        <w:right w:val="none" w:sz="0" w:space="0" w:color="auto"/>
                      </w:divBdr>
                      <w:divsChild>
                        <w:div w:id="174479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183085">
      <w:bodyDiv w:val="1"/>
      <w:marLeft w:val="0"/>
      <w:marRight w:val="0"/>
      <w:marTop w:val="0"/>
      <w:marBottom w:val="0"/>
      <w:divBdr>
        <w:top w:val="none" w:sz="0" w:space="0" w:color="auto"/>
        <w:left w:val="none" w:sz="0" w:space="0" w:color="auto"/>
        <w:bottom w:val="none" w:sz="0" w:space="0" w:color="auto"/>
        <w:right w:val="none" w:sz="0" w:space="0" w:color="auto"/>
      </w:divBdr>
      <w:divsChild>
        <w:div w:id="1758794702">
          <w:marLeft w:val="0"/>
          <w:marRight w:val="0"/>
          <w:marTop w:val="0"/>
          <w:marBottom w:val="0"/>
          <w:divBdr>
            <w:top w:val="none" w:sz="0" w:space="0" w:color="auto"/>
            <w:left w:val="none" w:sz="0" w:space="0" w:color="auto"/>
            <w:bottom w:val="none" w:sz="0" w:space="0" w:color="auto"/>
            <w:right w:val="none" w:sz="0" w:space="0" w:color="auto"/>
          </w:divBdr>
          <w:divsChild>
            <w:div w:id="1844928238">
              <w:marLeft w:val="0"/>
              <w:marRight w:val="0"/>
              <w:marTop w:val="0"/>
              <w:marBottom w:val="0"/>
              <w:divBdr>
                <w:top w:val="none" w:sz="0" w:space="0" w:color="auto"/>
                <w:left w:val="none" w:sz="0" w:space="0" w:color="auto"/>
                <w:bottom w:val="none" w:sz="0" w:space="0" w:color="auto"/>
                <w:right w:val="none" w:sz="0" w:space="0" w:color="auto"/>
              </w:divBdr>
              <w:divsChild>
                <w:div w:id="1433431260">
                  <w:marLeft w:val="0"/>
                  <w:marRight w:val="0"/>
                  <w:marTop w:val="0"/>
                  <w:marBottom w:val="0"/>
                  <w:divBdr>
                    <w:top w:val="none" w:sz="0" w:space="0" w:color="auto"/>
                    <w:left w:val="none" w:sz="0" w:space="0" w:color="auto"/>
                    <w:bottom w:val="none" w:sz="0" w:space="0" w:color="auto"/>
                    <w:right w:val="none" w:sz="0" w:space="0" w:color="auto"/>
                  </w:divBdr>
                  <w:divsChild>
                    <w:div w:id="92931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993557">
      <w:bodyDiv w:val="1"/>
      <w:marLeft w:val="0"/>
      <w:marRight w:val="0"/>
      <w:marTop w:val="0"/>
      <w:marBottom w:val="0"/>
      <w:divBdr>
        <w:top w:val="none" w:sz="0" w:space="0" w:color="auto"/>
        <w:left w:val="none" w:sz="0" w:space="0" w:color="auto"/>
        <w:bottom w:val="none" w:sz="0" w:space="0" w:color="auto"/>
        <w:right w:val="none" w:sz="0" w:space="0" w:color="auto"/>
      </w:divBdr>
      <w:divsChild>
        <w:div w:id="389429365">
          <w:marLeft w:val="0"/>
          <w:marRight w:val="0"/>
          <w:marTop w:val="0"/>
          <w:marBottom w:val="0"/>
          <w:divBdr>
            <w:top w:val="none" w:sz="0" w:space="0" w:color="auto"/>
            <w:left w:val="none" w:sz="0" w:space="0" w:color="auto"/>
            <w:bottom w:val="none" w:sz="0" w:space="0" w:color="auto"/>
            <w:right w:val="none" w:sz="0" w:space="0" w:color="auto"/>
          </w:divBdr>
          <w:divsChild>
            <w:div w:id="975069929">
              <w:marLeft w:val="0"/>
              <w:marRight w:val="0"/>
              <w:marTop w:val="0"/>
              <w:marBottom w:val="0"/>
              <w:divBdr>
                <w:top w:val="none" w:sz="0" w:space="0" w:color="auto"/>
                <w:left w:val="none" w:sz="0" w:space="0" w:color="auto"/>
                <w:bottom w:val="none" w:sz="0" w:space="0" w:color="auto"/>
                <w:right w:val="none" w:sz="0" w:space="0" w:color="auto"/>
              </w:divBdr>
              <w:divsChild>
                <w:div w:id="524289006">
                  <w:marLeft w:val="0"/>
                  <w:marRight w:val="0"/>
                  <w:marTop w:val="0"/>
                  <w:marBottom w:val="0"/>
                  <w:divBdr>
                    <w:top w:val="none" w:sz="0" w:space="0" w:color="auto"/>
                    <w:left w:val="none" w:sz="0" w:space="0" w:color="auto"/>
                    <w:bottom w:val="none" w:sz="0" w:space="0" w:color="auto"/>
                    <w:right w:val="none" w:sz="0" w:space="0" w:color="auto"/>
                  </w:divBdr>
                  <w:divsChild>
                    <w:div w:id="169195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553774">
      <w:bodyDiv w:val="1"/>
      <w:marLeft w:val="0"/>
      <w:marRight w:val="0"/>
      <w:marTop w:val="0"/>
      <w:marBottom w:val="0"/>
      <w:divBdr>
        <w:top w:val="none" w:sz="0" w:space="0" w:color="auto"/>
        <w:left w:val="none" w:sz="0" w:space="0" w:color="auto"/>
        <w:bottom w:val="none" w:sz="0" w:space="0" w:color="auto"/>
        <w:right w:val="none" w:sz="0" w:space="0" w:color="auto"/>
      </w:divBdr>
      <w:divsChild>
        <w:div w:id="278150798">
          <w:marLeft w:val="0"/>
          <w:marRight w:val="0"/>
          <w:marTop w:val="0"/>
          <w:marBottom w:val="0"/>
          <w:divBdr>
            <w:top w:val="none" w:sz="0" w:space="0" w:color="auto"/>
            <w:left w:val="none" w:sz="0" w:space="0" w:color="auto"/>
            <w:bottom w:val="none" w:sz="0" w:space="0" w:color="auto"/>
            <w:right w:val="none" w:sz="0" w:space="0" w:color="auto"/>
          </w:divBdr>
          <w:divsChild>
            <w:div w:id="950747071">
              <w:marLeft w:val="0"/>
              <w:marRight w:val="0"/>
              <w:marTop w:val="0"/>
              <w:marBottom w:val="0"/>
              <w:divBdr>
                <w:top w:val="none" w:sz="0" w:space="0" w:color="auto"/>
                <w:left w:val="none" w:sz="0" w:space="0" w:color="auto"/>
                <w:bottom w:val="none" w:sz="0" w:space="0" w:color="auto"/>
                <w:right w:val="none" w:sz="0" w:space="0" w:color="auto"/>
              </w:divBdr>
              <w:divsChild>
                <w:div w:id="858784606">
                  <w:marLeft w:val="0"/>
                  <w:marRight w:val="0"/>
                  <w:marTop w:val="0"/>
                  <w:marBottom w:val="0"/>
                  <w:divBdr>
                    <w:top w:val="none" w:sz="0" w:space="0" w:color="auto"/>
                    <w:left w:val="none" w:sz="0" w:space="0" w:color="auto"/>
                    <w:bottom w:val="none" w:sz="0" w:space="0" w:color="auto"/>
                    <w:right w:val="none" w:sz="0" w:space="0" w:color="auto"/>
                  </w:divBdr>
                  <w:divsChild>
                    <w:div w:id="1736775072">
                      <w:marLeft w:val="0"/>
                      <w:marRight w:val="0"/>
                      <w:marTop w:val="0"/>
                      <w:marBottom w:val="0"/>
                      <w:divBdr>
                        <w:top w:val="none" w:sz="0" w:space="0" w:color="auto"/>
                        <w:left w:val="none" w:sz="0" w:space="0" w:color="auto"/>
                        <w:bottom w:val="none" w:sz="0" w:space="0" w:color="auto"/>
                        <w:right w:val="none" w:sz="0" w:space="0" w:color="auto"/>
                      </w:divBdr>
                      <w:divsChild>
                        <w:div w:id="1561207489">
                          <w:marLeft w:val="0"/>
                          <w:marRight w:val="0"/>
                          <w:marTop w:val="0"/>
                          <w:marBottom w:val="0"/>
                          <w:divBdr>
                            <w:top w:val="none" w:sz="0" w:space="0" w:color="auto"/>
                            <w:left w:val="none" w:sz="0" w:space="0" w:color="auto"/>
                            <w:bottom w:val="none" w:sz="0" w:space="0" w:color="auto"/>
                            <w:right w:val="none" w:sz="0" w:space="0" w:color="auto"/>
                          </w:divBdr>
                          <w:divsChild>
                            <w:div w:id="300381800">
                              <w:marLeft w:val="0"/>
                              <w:marRight w:val="0"/>
                              <w:marTop w:val="0"/>
                              <w:marBottom w:val="0"/>
                              <w:divBdr>
                                <w:top w:val="none" w:sz="0" w:space="0" w:color="auto"/>
                                <w:left w:val="none" w:sz="0" w:space="0" w:color="auto"/>
                                <w:bottom w:val="none" w:sz="0" w:space="0" w:color="auto"/>
                                <w:right w:val="none" w:sz="0" w:space="0" w:color="auto"/>
                              </w:divBdr>
                              <w:divsChild>
                                <w:div w:id="180276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12769">
      <w:bodyDiv w:val="1"/>
      <w:marLeft w:val="0"/>
      <w:marRight w:val="0"/>
      <w:marTop w:val="0"/>
      <w:marBottom w:val="0"/>
      <w:divBdr>
        <w:top w:val="none" w:sz="0" w:space="0" w:color="auto"/>
        <w:left w:val="none" w:sz="0" w:space="0" w:color="auto"/>
        <w:bottom w:val="none" w:sz="0" w:space="0" w:color="auto"/>
        <w:right w:val="none" w:sz="0" w:space="0" w:color="auto"/>
      </w:divBdr>
    </w:div>
    <w:div w:id="2131514872">
      <w:bodyDiv w:val="1"/>
      <w:marLeft w:val="0"/>
      <w:marRight w:val="0"/>
      <w:marTop w:val="0"/>
      <w:marBottom w:val="0"/>
      <w:divBdr>
        <w:top w:val="none" w:sz="0" w:space="0" w:color="auto"/>
        <w:left w:val="none" w:sz="0" w:space="0" w:color="auto"/>
        <w:bottom w:val="none" w:sz="0" w:space="0" w:color="auto"/>
        <w:right w:val="none" w:sz="0" w:space="0" w:color="auto"/>
      </w:divBdr>
      <w:divsChild>
        <w:div w:id="1745104806">
          <w:marLeft w:val="0"/>
          <w:marRight w:val="0"/>
          <w:marTop w:val="0"/>
          <w:marBottom w:val="0"/>
          <w:divBdr>
            <w:top w:val="none" w:sz="0" w:space="0" w:color="auto"/>
            <w:left w:val="none" w:sz="0" w:space="0" w:color="auto"/>
            <w:bottom w:val="none" w:sz="0" w:space="0" w:color="auto"/>
            <w:right w:val="none" w:sz="0" w:space="0" w:color="auto"/>
          </w:divBdr>
          <w:divsChild>
            <w:div w:id="488905025">
              <w:marLeft w:val="0"/>
              <w:marRight w:val="0"/>
              <w:marTop w:val="0"/>
              <w:marBottom w:val="0"/>
              <w:divBdr>
                <w:top w:val="none" w:sz="0" w:space="0" w:color="auto"/>
                <w:left w:val="none" w:sz="0" w:space="0" w:color="auto"/>
                <w:bottom w:val="none" w:sz="0" w:space="0" w:color="auto"/>
                <w:right w:val="none" w:sz="0" w:space="0" w:color="auto"/>
              </w:divBdr>
              <w:divsChild>
                <w:div w:id="228656202">
                  <w:marLeft w:val="0"/>
                  <w:marRight w:val="0"/>
                  <w:marTop w:val="0"/>
                  <w:marBottom w:val="0"/>
                  <w:divBdr>
                    <w:top w:val="none" w:sz="0" w:space="0" w:color="auto"/>
                    <w:left w:val="none" w:sz="0" w:space="0" w:color="auto"/>
                    <w:bottom w:val="none" w:sz="0" w:space="0" w:color="auto"/>
                    <w:right w:val="none" w:sz="0" w:space="0" w:color="auto"/>
                  </w:divBdr>
                  <w:divsChild>
                    <w:div w:id="200057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627036">
      <w:bodyDiv w:val="1"/>
      <w:marLeft w:val="0"/>
      <w:marRight w:val="0"/>
      <w:marTop w:val="0"/>
      <w:marBottom w:val="0"/>
      <w:divBdr>
        <w:top w:val="none" w:sz="0" w:space="0" w:color="auto"/>
        <w:left w:val="none" w:sz="0" w:space="0" w:color="auto"/>
        <w:bottom w:val="none" w:sz="0" w:space="0" w:color="auto"/>
        <w:right w:val="none" w:sz="0" w:space="0" w:color="auto"/>
      </w:divBdr>
      <w:divsChild>
        <w:div w:id="1116213125">
          <w:marLeft w:val="0"/>
          <w:marRight w:val="0"/>
          <w:marTop w:val="0"/>
          <w:marBottom w:val="0"/>
          <w:divBdr>
            <w:top w:val="none" w:sz="0" w:space="0" w:color="auto"/>
            <w:left w:val="none" w:sz="0" w:space="0" w:color="auto"/>
            <w:bottom w:val="none" w:sz="0" w:space="0" w:color="auto"/>
            <w:right w:val="none" w:sz="0" w:space="0" w:color="auto"/>
          </w:divBdr>
          <w:divsChild>
            <w:div w:id="2077043670">
              <w:marLeft w:val="0"/>
              <w:marRight w:val="0"/>
              <w:marTop w:val="0"/>
              <w:marBottom w:val="0"/>
              <w:divBdr>
                <w:top w:val="none" w:sz="0" w:space="0" w:color="auto"/>
                <w:left w:val="none" w:sz="0" w:space="0" w:color="auto"/>
                <w:bottom w:val="none" w:sz="0" w:space="0" w:color="auto"/>
                <w:right w:val="none" w:sz="0" w:space="0" w:color="auto"/>
              </w:divBdr>
              <w:divsChild>
                <w:div w:id="1343512322">
                  <w:marLeft w:val="0"/>
                  <w:marRight w:val="0"/>
                  <w:marTop w:val="0"/>
                  <w:marBottom w:val="0"/>
                  <w:divBdr>
                    <w:top w:val="none" w:sz="0" w:space="0" w:color="auto"/>
                    <w:left w:val="none" w:sz="0" w:space="0" w:color="auto"/>
                    <w:bottom w:val="none" w:sz="0" w:space="0" w:color="auto"/>
                    <w:right w:val="none" w:sz="0" w:space="0" w:color="auto"/>
                  </w:divBdr>
                  <w:divsChild>
                    <w:div w:id="789013156">
                      <w:marLeft w:val="0"/>
                      <w:marRight w:val="0"/>
                      <w:marTop w:val="0"/>
                      <w:marBottom w:val="0"/>
                      <w:divBdr>
                        <w:top w:val="none" w:sz="0" w:space="0" w:color="auto"/>
                        <w:left w:val="none" w:sz="0" w:space="0" w:color="auto"/>
                        <w:bottom w:val="none" w:sz="0" w:space="0" w:color="auto"/>
                        <w:right w:val="none" w:sz="0" w:space="0" w:color="auto"/>
                      </w:divBdr>
                      <w:divsChild>
                        <w:div w:id="40797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800688">
                  <w:marLeft w:val="0"/>
                  <w:marRight w:val="0"/>
                  <w:marTop w:val="0"/>
                  <w:marBottom w:val="0"/>
                  <w:divBdr>
                    <w:top w:val="none" w:sz="0" w:space="0" w:color="auto"/>
                    <w:left w:val="none" w:sz="0" w:space="0" w:color="auto"/>
                    <w:bottom w:val="none" w:sz="0" w:space="0" w:color="auto"/>
                    <w:right w:val="none" w:sz="0" w:space="0" w:color="auto"/>
                  </w:divBdr>
                  <w:divsChild>
                    <w:div w:id="741373306">
                      <w:marLeft w:val="0"/>
                      <w:marRight w:val="0"/>
                      <w:marTop w:val="0"/>
                      <w:marBottom w:val="0"/>
                      <w:divBdr>
                        <w:top w:val="none" w:sz="0" w:space="0" w:color="auto"/>
                        <w:left w:val="none" w:sz="0" w:space="0" w:color="auto"/>
                        <w:bottom w:val="none" w:sz="0" w:space="0" w:color="auto"/>
                        <w:right w:val="none" w:sz="0" w:space="0" w:color="auto"/>
                      </w:divBdr>
                      <w:divsChild>
                        <w:div w:id="204501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localhost/szablon/kbz/aktualnosci/plantextract-plex-database" TargetMode="External"/><Relationship Id="rId21" Type="http://schemas.openxmlformats.org/officeDocument/2006/relationships/hyperlink" Target="http://localhost/szablon/kbz/aktualnosci/plantextract-plex-database" TargetMode="External"/><Relationship Id="rId42" Type="http://schemas.openxmlformats.org/officeDocument/2006/relationships/hyperlink" Target="http://localhost/szablon/kbz/aktualnosci/plantextract-plex-database" TargetMode="External"/><Relationship Id="rId47" Type="http://schemas.openxmlformats.org/officeDocument/2006/relationships/hyperlink" Target="http://localhost/szablon/kbz/aktualnosci/plantextract-plex-database" TargetMode="External"/><Relationship Id="rId63" Type="http://schemas.openxmlformats.org/officeDocument/2006/relationships/hyperlink" Target="http://localhost/szablon/kbz/aktualnosci/plantextract-plex-database" TargetMode="External"/><Relationship Id="rId68" Type="http://schemas.openxmlformats.org/officeDocument/2006/relationships/hyperlink" Target="http://localhost/szablon/kbz/aktualnosci/plantextract-plex-database" TargetMode="External"/><Relationship Id="rId16" Type="http://schemas.openxmlformats.org/officeDocument/2006/relationships/hyperlink" Target="http://localhost/szablon/kbz/aktualnosci/plantextract-plex-database" TargetMode="External"/><Relationship Id="rId11" Type="http://schemas.openxmlformats.org/officeDocument/2006/relationships/hyperlink" Target="http://localhost/szablon/kbz/aktualnosci/plantextract-plex-database" TargetMode="External"/><Relationship Id="rId24" Type="http://schemas.openxmlformats.org/officeDocument/2006/relationships/hyperlink" Target="http://localhost/szablon/kbz/aktualnosci/plantextract-plex-database" TargetMode="External"/><Relationship Id="rId32" Type="http://schemas.openxmlformats.org/officeDocument/2006/relationships/hyperlink" Target="http://localhost/szablon/kbz/aktualnosci/plantextract-plex-database" TargetMode="External"/><Relationship Id="rId37" Type="http://schemas.openxmlformats.org/officeDocument/2006/relationships/hyperlink" Target="http://localhost/szablon/kbz/aktualnosci/plantextract-plex-database" TargetMode="External"/><Relationship Id="rId40" Type="http://schemas.openxmlformats.org/officeDocument/2006/relationships/hyperlink" Target="http://localhost/szablon/kbz/aktualnosci/plantextract-plex-database" TargetMode="External"/><Relationship Id="rId45" Type="http://schemas.openxmlformats.org/officeDocument/2006/relationships/hyperlink" Target="http://localhost/szablon/kbz/aktualnosci/plantextract-plex-database" TargetMode="External"/><Relationship Id="rId53" Type="http://schemas.openxmlformats.org/officeDocument/2006/relationships/hyperlink" Target="http://localhost/szablon/kbz/aktualnosci/plantextract-plex-database" TargetMode="External"/><Relationship Id="rId58" Type="http://schemas.openxmlformats.org/officeDocument/2006/relationships/hyperlink" Target="http://localhost/szablon/kbz/aktualnosci/plantextract-plex-database" TargetMode="External"/><Relationship Id="rId66" Type="http://schemas.openxmlformats.org/officeDocument/2006/relationships/hyperlink" Target="http://localhost/szablon/kbz/aktualnosci/plantextract-plex-database" TargetMode="External"/><Relationship Id="rId74" Type="http://schemas.openxmlformats.org/officeDocument/2006/relationships/hyperlink" Target="https://doi.org/10.2903/j.efsa.2018.e16081" TargetMode="External"/><Relationship Id="rId79" Type="http://schemas.openxmlformats.org/officeDocument/2006/relationships/fontTable" Target="fontTable.xml"/><Relationship Id="rId5" Type="http://schemas.openxmlformats.org/officeDocument/2006/relationships/hyperlink" Target="https://www.ncbr.gov.pl/" TargetMode="External"/><Relationship Id="rId61" Type="http://schemas.openxmlformats.org/officeDocument/2006/relationships/hyperlink" Target="http://localhost/szablon/kbz/aktualnosci/plantextract-plex-database" TargetMode="External"/><Relationship Id="rId19" Type="http://schemas.openxmlformats.org/officeDocument/2006/relationships/hyperlink" Target="http://localhost/szablon/kbz/aktualnosci/plantextract-plex-database" TargetMode="External"/><Relationship Id="rId14" Type="http://schemas.openxmlformats.org/officeDocument/2006/relationships/hyperlink" Target="http://localhost/szablon/kbz/aktualnosci/plantextract-plex-database" TargetMode="External"/><Relationship Id="rId22" Type="http://schemas.openxmlformats.org/officeDocument/2006/relationships/hyperlink" Target="http://localhost/szablon/kbz/aktualnosci/plantextract-plex-database" TargetMode="External"/><Relationship Id="rId27" Type="http://schemas.openxmlformats.org/officeDocument/2006/relationships/hyperlink" Target="http://localhost/szablon/kbz/aktualnosci/plantextract-plex-database" TargetMode="External"/><Relationship Id="rId30" Type="http://schemas.openxmlformats.org/officeDocument/2006/relationships/hyperlink" Target="http://localhost/szablon/kbz/aktualnosci/plantextract-plex-database" TargetMode="External"/><Relationship Id="rId35" Type="http://schemas.openxmlformats.org/officeDocument/2006/relationships/hyperlink" Target="http://localhost/szablon/kbz/aktualnosci/plantextract-plex-database" TargetMode="External"/><Relationship Id="rId43" Type="http://schemas.openxmlformats.org/officeDocument/2006/relationships/hyperlink" Target="http://localhost/szablon/kbz/aktualnosci/plantextract-plex-database" TargetMode="External"/><Relationship Id="rId48" Type="http://schemas.openxmlformats.org/officeDocument/2006/relationships/hyperlink" Target="http://localhost/szablon/kbz/aktualnosci/plantextract-plex-database" TargetMode="External"/><Relationship Id="rId56" Type="http://schemas.openxmlformats.org/officeDocument/2006/relationships/hyperlink" Target="http://localhost/szablon/kbz/aktualnosci/plantextract-plex-database" TargetMode="External"/><Relationship Id="rId64" Type="http://schemas.openxmlformats.org/officeDocument/2006/relationships/hyperlink" Target="http://localhost/szablon/kbz/aktualnosci/plantextract-plex-database" TargetMode="External"/><Relationship Id="rId69" Type="http://schemas.openxmlformats.org/officeDocument/2006/relationships/hyperlink" Target="http://localhost/szablon/kbz/aktualnosci/plantextract-plex-database" TargetMode="External"/><Relationship Id="rId77" Type="http://schemas.openxmlformats.org/officeDocument/2006/relationships/hyperlink" Target="http://www.fao.org/3/T0632E10.htm" TargetMode="External"/><Relationship Id="rId8" Type="http://schemas.openxmlformats.org/officeDocument/2006/relationships/hyperlink" Target="http://www.uwm.edu.pl/cbeo/biomagic/" TargetMode="External"/><Relationship Id="rId51" Type="http://schemas.openxmlformats.org/officeDocument/2006/relationships/hyperlink" Target="http://localhost/szablon/kbz/aktualnosci/plantextract-plex-database" TargetMode="External"/><Relationship Id="rId72" Type="http://schemas.openxmlformats.org/officeDocument/2006/relationships/hyperlink" Target="http://localhost/szablon/kbz/aktualnosci/plantextract-plex-database" TargetMode="External"/><Relationship Id="rId8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localhost/szablon/kbz/aktualnosci/plantextract-plex-database" TargetMode="External"/><Relationship Id="rId17" Type="http://schemas.openxmlformats.org/officeDocument/2006/relationships/hyperlink" Target="http://localhost/szablon/kbz/aktualnosci/plantextract-plex-database" TargetMode="External"/><Relationship Id="rId25" Type="http://schemas.openxmlformats.org/officeDocument/2006/relationships/hyperlink" Target="http://localhost/szablon/kbz/aktualnosci/plantextract-plex-database" TargetMode="External"/><Relationship Id="rId33" Type="http://schemas.openxmlformats.org/officeDocument/2006/relationships/hyperlink" Target="http://localhost/szablon/kbz/aktualnosci/plantextract-plex-database" TargetMode="External"/><Relationship Id="rId38" Type="http://schemas.openxmlformats.org/officeDocument/2006/relationships/hyperlink" Target="http://localhost/szablon/kbz/aktualnosci/plantextract-plex-database" TargetMode="External"/><Relationship Id="rId46" Type="http://schemas.openxmlformats.org/officeDocument/2006/relationships/hyperlink" Target="http://localhost/szablon/kbz/aktualnosci/plantextract-plex-database" TargetMode="External"/><Relationship Id="rId59" Type="http://schemas.openxmlformats.org/officeDocument/2006/relationships/hyperlink" Target="http://localhost/szablon/kbz/aktualnosci/plantextract-plex-database" TargetMode="External"/><Relationship Id="rId67" Type="http://schemas.openxmlformats.org/officeDocument/2006/relationships/hyperlink" Target="http://localhost/szablon/kbz/aktualnosci/plantextract-plex-database" TargetMode="External"/><Relationship Id="rId20" Type="http://schemas.openxmlformats.org/officeDocument/2006/relationships/hyperlink" Target="http://localhost/szablon/kbz/aktualnosci/plantextract-plex-database" TargetMode="External"/><Relationship Id="rId41" Type="http://schemas.openxmlformats.org/officeDocument/2006/relationships/hyperlink" Target="http://localhost/szablon/kbz/aktualnosci/plantextract-plex-database" TargetMode="External"/><Relationship Id="rId54" Type="http://schemas.openxmlformats.org/officeDocument/2006/relationships/hyperlink" Target="http://localhost/szablon/kbz/aktualnosci/plantextract-plex-database" TargetMode="External"/><Relationship Id="rId62" Type="http://schemas.openxmlformats.org/officeDocument/2006/relationships/hyperlink" Target="http://localhost/szablon/kbz/aktualnosci/plantextract-plex-database" TargetMode="External"/><Relationship Id="rId70" Type="http://schemas.openxmlformats.org/officeDocument/2006/relationships/hyperlink" Target="http://localhost/szablon/kbz/aktualnosci/plantextract-plex-database" TargetMode="External"/><Relationship Id="rId75" Type="http://schemas.openxmlformats.org/officeDocument/2006/relationships/hyperlink" Target="http://jairjp.com/NOVEMBER%202014/09%20PARUL%20REVIEW.pdf" TargetMode="External"/><Relationship Id="rId1" Type="http://schemas.openxmlformats.org/officeDocument/2006/relationships/styles" Target="styles.xml"/><Relationship Id="rId6" Type="http://schemas.openxmlformats.org/officeDocument/2006/relationships/image" Target="media/image2.png"/><Relationship Id="rId15" Type="http://schemas.openxmlformats.org/officeDocument/2006/relationships/hyperlink" Target="http://localhost/szablon/kbz/aktualnosci/plantextract-plex-database" TargetMode="External"/><Relationship Id="rId23" Type="http://schemas.openxmlformats.org/officeDocument/2006/relationships/hyperlink" Target="http://localhost/szablon/kbz/aktualnosci/plantextract-plex-database" TargetMode="External"/><Relationship Id="rId28" Type="http://schemas.openxmlformats.org/officeDocument/2006/relationships/hyperlink" Target="http://localhost/szablon/kbz/aktualnosci/plantextract-plex-database" TargetMode="External"/><Relationship Id="rId36" Type="http://schemas.openxmlformats.org/officeDocument/2006/relationships/hyperlink" Target="http://localhost/szablon/kbz/aktualnosci/plantextract-plex-database" TargetMode="External"/><Relationship Id="rId49" Type="http://schemas.openxmlformats.org/officeDocument/2006/relationships/hyperlink" Target="http://localhost/szablon/kbz/aktualnosci/plantextract-plex-database" TargetMode="External"/><Relationship Id="rId57" Type="http://schemas.openxmlformats.org/officeDocument/2006/relationships/hyperlink" Target="http://localhost/szablon/kbz/aktualnosci/plantextract-plex-database" TargetMode="External"/><Relationship Id="rId10" Type="http://schemas.openxmlformats.org/officeDocument/2006/relationships/hyperlink" Target="http://localhost/szablon/kbz/aktualnosci/plantextract-plex-database" TargetMode="External"/><Relationship Id="rId31" Type="http://schemas.openxmlformats.org/officeDocument/2006/relationships/hyperlink" Target="http://localhost/szablon/kbz/aktualnosci/plantextract-plex-database" TargetMode="External"/><Relationship Id="rId44" Type="http://schemas.openxmlformats.org/officeDocument/2006/relationships/hyperlink" Target="http://localhost/szablon/kbz/aktualnosci/plantextract-plex-database" TargetMode="External"/><Relationship Id="rId52" Type="http://schemas.openxmlformats.org/officeDocument/2006/relationships/hyperlink" Target="http://localhost/szablon/kbz/aktualnosci/plantextract-plex-database" TargetMode="External"/><Relationship Id="rId60" Type="http://schemas.openxmlformats.org/officeDocument/2006/relationships/hyperlink" Target="http://localhost/szablon/kbz/aktualnosci/plantextract-plex-database" TargetMode="External"/><Relationship Id="rId65" Type="http://schemas.openxmlformats.org/officeDocument/2006/relationships/hyperlink" Target="http://localhost/szablon/kbz/aktualnosci/plantextract-plex-database" TargetMode="External"/><Relationship Id="rId73" Type="http://schemas.openxmlformats.org/officeDocument/2006/relationships/hyperlink" Target="http://localhost/szablon/kbz/aktualnosci/plantextract-plex-database" TargetMode="External"/><Relationship Id="rId78" Type="http://schemas.openxmlformats.org/officeDocument/2006/relationships/hyperlink" Target="https://youtu.be/mMcXAwc34og" TargetMode="External"/><Relationship Id="rId4" Type="http://schemas.openxmlformats.org/officeDocument/2006/relationships/image" Target="media/image1.png"/><Relationship Id="rId9" Type="http://schemas.openxmlformats.org/officeDocument/2006/relationships/image" Target="media/image4.jpeg"/><Relationship Id="rId13" Type="http://schemas.openxmlformats.org/officeDocument/2006/relationships/hyperlink" Target="http://localhost/szablon/kbz/aktualnosci/plantextract-plex-database" TargetMode="External"/><Relationship Id="rId18" Type="http://schemas.openxmlformats.org/officeDocument/2006/relationships/hyperlink" Target="http://localhost/szablon/kbz/aktualnosci/plantextract-plex-database" TargetMode="External"/><Relationship Id="rId39" Type="http://schemas.openxmlformats.org/officeDocument/2006/relationships/hyperlink" Target="http://localhost/szablon/kbz/aktualnosci/plantextract-plex-database" TargetMode="External"/><Relationship Id="rId34" Type="http://schemas.openxmlformats.org/officeDocument/2006/relationships/hyperlink" Target="http://localhost/szablon/kbz/aktualnosci/plantextract-plex-database" TargetMode="External"/><Relationship Id="rId50" Type="http://schemas.openxmlformats.org/officeDocument/2006/relationships/hyperlink" Target="http://localhost/szablon/kbz/aktualnosci/plantextract-plex-database" TargetMode="External"/><Relationship Id="rId55" Type="http://schemas.openxmlformats.org/officeDocument/2006/relationships/hyperlink" Target="http://localhost/szablon/kbz/aktualnosci/plantextract-plex-database" TargetMode="External"/><Relationship Id="rId76" Type="http://schemas.openxmlformats.org/officeDocument/2006/relationships/hyperlink" Target="https://www.researchgate.net/publication/280722236" TargetMode="External"/><Relationship Id="rId7" Type="http://schemas.openxmlformats.org/officeDocument/2006/relationships/image" Target="media/image3.png"/><Relationship Id="rId71" Type="http://schemas.openxmlformats.org/officeDocument/2006/relationships/hyperlink" Target="http://localhost/szablon/kbz/aktualnosci/plantextract-plex-database" TargetMode="External"/><Relationship Id="rId2" Type="http://schemas.openxmlformats.org/officeDocument/2006/relationships/settings" Target="settings.xml"/><Relationship Id="rId29" Type="http://schemas.openxmlformats.org/officeDocument/2006/relationships/hyperlink" Target="http://localhost/szablon/kbz/aktualnosci/plantextract-plex-databas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70</Pages>
  <Words>23839</Words>
  <Characters>143035</Characters>
  <Application>Microsoft Office Word</Application>
  <DocSecurity>0</DocSecurity>
  <Lines>1191</Lines>
  <Paragraphs>333</Paragraphs>
  <ScaleCrop>false</ScaleCrop>
  <Company/>
  <LinksUpToDate>false</LinksUpToDate>
  <CharactersWithSpaces>166541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Wejner</dc:creator>
  <cp:keywords/>
  <dc:description/>
  <cp:lastModifiedBy>Katarzyna Staniewska</cp:lastModifiedBy>
  <cp:revision>2</cp:revision>
  <dcterms:created xsi:type="dcterms:W3CDTF">2021-06-11T12:45:00Z</dcterms:created>
  <dcterms:modified xsi:type="dcterms:W3CDTF">2021-06-11T12:45:00Z</dcterms:modified>
</cp:coreProperties>
</file>